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67C96EA" w14:textId="77777777" w:rsidR="007D1719" w:rsidRDefault="007D1719" w:rsidP="007D1719">
      <w:pPr>
        <w:pStyle w:val="PAGTitlepage"/>
      </w:pPr>
    </w:p>
    <w:p w14:paraId="54B67DE7" w14:textId="77777777" w:rsidR="007D1719" w:rsidRDefault="007D1719" w:rsidP="007D1719">
      <w:pPr>
        <w:pStyle w:val="PAGTitlepage"/>
      </w:pPr>
      <w:r>
        <w:rPr>
          <w:noProof/>
        </w:rPr>
        <w:drawing>
          <wp:inline distT="0" distB="0" distL="0" distR="0" wp14:anchorId="7808DA29" wp14:editId="06A64F88">
            <wp:extent cx="6119026" cy="3696510"/>
            <wp:effectExtent l="0" t="0" r="2540" b="0"/>
            <wp:docPr id="5" name="Grafik 5"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enthält.&#10;&#10;Automatisch generierte Beschreibung"/>
                    <pic:cNvPicPr/>
                  </pic:nvPicPr>
                  <pic:blipFill rotWithShape="1">
                    <a:blip r:embed="rId8"/>
                    <a:srcRect b="19403"/>
                    <a:stretch/>
                  </pic:blipFill>
                  <pic:spPr bwMode="auto">
                    <a:xfrm>
                      <a:off x="0" y="0"/>
                      <a:ext cx="6120130" cy="3697177"/>
                    </a:xfrm>
                    <a:prstGeom prst="rect">
                      <a:avLst/>
                    </a:prstGeom>
                    <a:ln>
                      <a:noFill/>
                    </a:ln>
                    <a:extLst>
                      <a:ext uri="{53640926-AAD7-44D8-BBD7-CCE9431645EC}">
                        <a14:shadowObscured xmlns:a14="http://schemas.microsoft.com/office/drawing/2010/main"/>
                      </a:ext>
                    </a:extLst>
                  </pic:spPr>
                </pic:pic>
              </a:graphicData>
            </a:graphic>
          </wp:inline>
        </w:drawing>
      </w:r>
    </w:p>
    <w:p w14:paraId="5C90D664" w14:textId="77777777" w:rsidR="006E559A" w:rsidRDefault="006E559A" w:rsidP="00FF71BE">
      <w:pPr>
        <w:pStyle w:val="PAGTitlepage"/>
      </w:pPr>
    </w:p>
    <w:p w14:paraId="5F531D22" w14:textId="454C6FD8" w:rsidR="00570BC6" w:rsidRDefault="00F653C0" w:rsidP="00BB2487">
      <w:pPr>
        <w:pStyle w:val="PAGTitlepage"/>
      </w:pPr>
      <w:r w:rsidRPr="00B9564B">
        <w:rPr>
          <w:bCs/>
        </w:rPr>
        <w:t>Los nuevos modelos Panamera híbridos</w:t>
      </w:r>
    </w:p>
    <w:p w14:paraId="129179FF" w14:textId="77777777" w:rsidR="00806768" w:rsidRDefault="00FF71BE" w:rsidP="00023ABA">
      <w:pPr>
        <w:pStyle w:val="PAGParagraphNormal"/>
        <w:jc w:val="center"/>
      </w:pPr>
      <w:r w:rsidRPr="00B9564B">
        <w:t>Dossier de prensa</w:t>
      </w:r>
      <w:bookmarkStart w:id="0" w:name="_Toc31186128"/>
    </w:p>
    <w:p w14:paraId="2CBCA164" w14:textId="146B2A29" w:rsidR="00BB2487" w:rsidRDefault="00BB2487">
      <w:pPr>
        <w:suppressAutoHyphens w:val="0"/>
        <w:rPr>
          <w:rFonts w:ascii="Arial" w:hAnsi="Arial" w:cs="Arial"/>
        </w:rPr>
      </w:pPr>
    </w:p>
    <w:p w14:paraId="4C29D518" w14:textId="1DDEF8E3" w:rsidR="00570BC6" w:rsidRPr="001C7390" w:rsidRDefault="00570BC6" w:rsidP="001C7390">
      <w:pPr>
        <w:pStyle w:val="PAGParagraphNormal"/>
        <w:tabs>
          <w:tab w:val="left" w:pos="6360"/>
        </w:tabs>
        <w:rPr>
          <w:b/>
          <w:bCs/>
          <w:sz w:val="32"/>
          <w:szCs w:val="32"/>
        </w:rPr>
      </w:pPr>
      <w:bookmarkStart w:id="1" w:name="_Toc31198518"/>
      <w:bookmarkStart w:id="2" w:name="_Toc31198455"/>
      <w:bookmarkStart w:id="3" w:name="_Toc31198379"/>
      <w:bookmarkStart w:id="4" w:name="_Toc31198324"/>
      <w:r>
        <w:rPr>
          <w:b/>
          <w:bCs/>
          <w:sz w:val="32"/>
          <w:szCs w:val="32"/>
          <w:lang w:val="en"/>
        </w:rPr>
        <w:t>Contenido</w:t>
      </w:r>
      <w:bookmarkEnd w:id="0"/>
      <w:bookmarkEnd w:id="1"/>
      <w:bookmarkEnd w:id="2"/>
      <w:bookmarkEnd w:id="3"/>
      <w:bookmarkEnd w:id="4"/>
      <w:r>
        <w:rPr>
          <w:sz w:val="32"/>
          <w:szCs w:val="32"/>
          <w:lang w:val="en"/>
        </w:rPr>
        <w:tab/>
      </w:r>
    </w:p>
    <w:p w14:paraId="5FE3A9AE" w14:textId="38186C78" w:rsidR="00623D1A" w:rsidRDefault="00BF66F3">
      <w:pPr>
        <w:pStyle w:val="Verzeichnis2"/>
        <w:tabs>
          <w:tab w:val="right" w:leader="dot" w:pos="9628"/>
        </w:tabs>
        <w:rPr>
          <w:rFonts w:asciiTheme="minorHAnsi" w:eastAsiaTheme="minorEastAsia" w:hAnsiTheme="minorHAnsi" w:cstheme="minorBidi"/>
          <w:noProof/>
          <w:kern w:val="0"/>
          <w:sz w:val="24"/>
          <w:szCs w:val="24"/>
          <w:lang w:eastAsia="de-DE"/>
        </w:rPr>
      </w:pPr>
      <w:r>
        <w:rPr>
          <w:color w:val="000000"/>
          <w:sz w:val="24"/>
          <w:lang w:val="en"/>
        </w:rPr>
        <w:fldChar w:fldCharType="begin"/>
      </w:r>
      <w:r>
        <w:instrText xml:space="preserve"> TOC \o "2-3" \h \z \t "Überschrift 1;1;Inhaltsverzeichnisüberschrift;1;_PAG_Column-Title;1;_PAG_Headline-1-(Chapter);2;_PAG_Headline-2-(Section);2" </w:instrText>
      </w:r>
      <w:r>
        <w:rPr>
          <w:color w:val="000000"/>
          <w:sz w:val="24"/>
        </w:rPr>
        <w:fldChar w:fldCharType="separate"/>
      </w:r>
      <w:hyperlink w:anchor="_Toc57811237" w:history="1">
        <w:r w:rsidR="00623D1A" w:rsidRPr="001D6007">
          <w:rPr>
            <w:rStyle w:val="Hyperlink"/>
            <w:rFonts w:eastAsia="OpenSymbol"/>
            <w:noProof/>
            <w:lang w:val="en" w:bidi="hi-IN"/>
          </w:rPr>
          <w:t>Consumo de combustible y emisiones</w:t>
        </w:r>
        <w:r w:rsidR="00623D1A">
          <w:rPr>
            <w:noProof/>
            <w:webHidden/>
          </w:rPr>
          <w:tab/>
        </w:r>
        <w:r w:rsidR="00623D1A">
          <w:rPr>
            <w:noProof/>
            <w:webHidden/>
          </w:rPr>
          <w:fldChar w:fldCharType="begin"/>
        </w:r>
        <w:r w:rsidR="00623D1A">
          <w:rPr>
            <w:noProof/>
            <w:webHidden/>
          </w:rPr>
          <w:instrText xml:space="preserve"> PAGEREF _Toc57811237 \h </w:instrText>
        </w:r>
        <w:r w:rsidR="00623D1A">
          <w:rPr>
            <w:noProof/>
            <w:webHidden/>
          </w:rPr>
        </w:r>
        <w:r w:rsidR="00623D1A">
          <w:rPr>
            <w:noProof/>
            <w:webHidden/>
          </w:rPr>
          <w:fldChar w:fldCharType="separate"/>
        </w:r>
        <w:r w:rsidR="00D35914">
          <w:rPr>
            <w:noProof/>
            <w:webHidden/>
          </w:rPr>
          <w:t>3</w:t>
        </w:r>
        <w:r w:rsidR="00623D1A">
          <w:rPr>
            <w:noProof/>
            <w:webHidden/>
          </w:rPr>
          <w:fldChar w:fldCharType="end"/>
        </w:r>
      </w:hyperlink>
    </w:p>
    <w:p w14:paraId="3BF15D11" w14:textId="30F71411" w:rsidR="00623D1A" w:rsidRDefault="00623D1A">
      <w:pPr>
        <w:pStyle w:val="Verzeichnis1"/>
        <w:rPr>
          <w:rFonts w:asciiTheme="minorHAnsi" w:eastAsiaTheme="minorEastAsia" w:hAnsiTheme="minorHAnsi" w:cstheme="minorBidi"/>
          <w:b w:val="0"/>
          <w:noProof/>
          <w:color w:val="auto"/>
          <w:kern w:val="0"/>
          <w:szCs w:val="24"/>
        </w:rPr>
      </w:pPr>
      <w:hyperlink w:anchor="_Toc57811238" w:history="1">
        <w:r w:rsidRPr="001D6007">
          <w:rPr>
            <w:rStyle w:val="Hyperlink"/>
            <w:rFonts w:eastAsia="OpenSymbol"/>
            <w:noProof/>
            <w:lang w:val="en" w:bidi="hi-IN"/>
          </w:rPr>
          <w:t>Aspectos destacados</w:t>
        </w:r>
        <w:r>
          <w:rPr>
            <w:noProof/>
            <w:webHidden/>
          </w:rPr>
          <w:tab/>
        </w:r>
        <w:r>
          <w:rPr>
            <w:noProof/>
            <w:webHidden/>
          </w:rPr>
          <w:fldChar w:fldCharType="begin"/>
        </w:r>
        <w:r>
          <w:rPr>
            <w:noProof/>
            <w:webHidden/>
          </w:rPr>
          <w:instrText xml:space="preserve"> PAGEREF _Toc57811238 \h </w:instrText>
        </w:r>
        <w:r>
          <w:rPr>
            <w:noProof/>
            <w:webHidden/>
          </w:rPr>
        </w:r>
        <w:r>
          <w:rPr>
            <w:noProof/>
            <w:webHidden/>
          </w:rPr>
          <w:fldChar w:fldCharType="separate"/>
        </w:r>
        <w:r w:rsidR="00D35914">
          <w:rPr>
            <w:noProof/>
            <w:webHidden/>
          </w:rPr>
          <w:t>5</w:t>
        </w:r>
        <w:r>
          <w:rPr>
            <w:noProof/>
            <w:webHidden/>
          </w:rPr>
          <w:fldChar w:fldCharType="end"/>
        </w:r>
      </w:hyperlink>
    </w:p>
    <w:p w14:paraId="358C1B62" w14:textId="7C369F0B"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39" w:history="1">
        <w:r w:rsidRPr="001D6007">
          <w:rPr>
            <w:rStyle w:val="Hyperlink"/>
            <w:rFonts w:eastAsia="OpenSymbol"/>
            <w:noProof/>
            <w:lang w:val="en" w:bidi="hi-IN"/>
          </w:rPr>
          <w:t>Los tres nuevos Panamera híbridos enchufables apuntalan la estrategia de propulsión de Porsche</w:t>
        </w:r>
        <w:r>
          <w:rPr>
            <w:noProof/>
            <w:webHidden/>
          </w:rPr>
          <w:tab/>
        </w:r>
        <w:r>
          <w:rPr>
            <w:noProof/>
            <w:webHidden/>
          </w:rPr>
          <w:fldChar w:fldCharType="begin"/>
        </w:r>
        <w:r>
          <w:rPr>
            <w:noProof/>
            <w:webHidden/>
          </w:rPr>
          <w:instrText xml:space="preserve"> PAGEREF _Toc57811239 \h </w:instrText>
        </w:r>
        <w:r>
          <w:rPr>
            <w:noProof/>
            <w:webHidden/>
          </w:rPr>
        </w:r>
        <w:r>
          <w:rPr>
            <w:noProof/>
            <w:webHidden/>
          </w:rPr>
          <w:fldChar w:fldCharType="separate"/>
        </w:r>
        <w:r w:rsidR="00D35914">
          <w:rPr>
            <w:noProof/>
            <w:webHidden/>
          </w:rPr>
          <w:t>5</w:t>
        </w:r>
        <w:r>
          <w:rPr>
            <w:noProof/>
            <w:webHidden/>
          </w:rPr>
          <w:fldChar w:fldCharType="end"/>
        </w:r>
      </w:hyperlink>
    </w:p>
    <w:p w14:paraId="5B036002" w14:textId="142BBF7D" w:rsidR="00623D1A" w:rsidRDefault="00623D1A">
      <w:pPr>
        <w:pStyle w:val="Verzeichnis1"/>
        <w:rPr>
          <w:rFonts w:asciiTheme="minorHAnsi" w:eastAsiaTheme="minorEastAsia" w:hAnsiTheme="minorHAnsi" w:cstheme="minorBidi"/>
          <w:b w:val="0"/>
          <w:noProof/>
          <w:color w:val="auto"/>
          <w:kern w:val="0"/>
          <w:szCs w:val="24"/>
        </w:rPr>
      </w:pPr>
      <w:hyperlink w:anchor="_Toc57811240" w:history="1">
        <w:r w:rsidRPr="001D6007">
          <w:rPr>
            <w:rStyle w:val="Hyperlink"/>
            <w:rFonts w:eastAsia="OpenSymbol"/>
            <w:noProof/>
            <w:lang w:val="en" w:bidi="hi-IN"/>
          </w:rPr>
          <w:t>Tríada de tecnologías de propulsión</w:t>
        </w:r>
        <w:r>
          <w:rPr>
            <w:noProof/>
            <w:webHidden/>
          </w:rPr>
          <w:tab/>
        </w:r>
        <w:r>
          <w:rPr>
            <w:noProof/>
            <w:webHidden/>
          </w:rPr>
          <w:fldChar w:fldCharType="begin"/>
        </w:r>
        <w:r>
          <w:rPr>
            <w:noProof/>
            <w:webHidden/>
          </w:rPr>
          <w:instrText xml:space="preserve"> PAGEREF _Toc57811240 \h </w:instrText>
        </w:r>
        <w:r>
          <w:rPr>
            <w:noProof/>
            <w:webHidden/>
          </w:rPr>
        </w:r>
        <w:r>
          <w:rPr>
            <w:noProof/>
            <w:webHidden/>
          </w:rPr>
          <w:fldChar w:fldCharType="separate"/>
        </w:r>
        <w:r w:rsidR="00D35914">
          <w:rPr>
            <w:noProof/>
            <w:webHidden/>
          </w:rPr>
          <w:t>7</w:t>
        </w:r>
        <w:r>
          <w:rPr>
            <w:noProof/>
            <w:webHidden/>
          </w:rPr>
          <w:fldChar w:fldCharType="end"/>
        </w:r>
      </w:hyperlink>
    </w:p>
    <w:p w14:paraId="2B870BAA" w14:textId="44B6D2B6"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41" w:history="1">
        <w:r w:rsidRPr="001D6007">
          <w:rPr>
            <w:rStyle w:val="Hyperlink"/>
            <w:rFonts w:eastAsia="OpenSymbol"/>
            <w:noProof/>
            <w:lang w:val="en" w:bidi="hi-IN"/>
          </w:rPr>
          <w:t>Porsche apuesta sistemáticamente por la movilidad sostenible</w:t>
        </w:r>
        <w:r>
          <w:rPr>
            <w:noProof/>
            <w:webHidden/>
          </w:rPr>
          <w:tab/>
        </w:r>
        <w:r>
          <w:rPr>
            <w:noProof/>
            <w:webHidden/>
          </w:rPr>
          <w:fldChar w:fldCharType="begin"/>
        </w:r>
        <w:r>
          <w:rPr>
            <w:noProof/>
            <w:webHidden/>
          </w:rPr>
          <w:instrText xml:space="preserve"> PAGEREF _Toc57811241 \h </w:instrText>
        </w:r>
        <w:r>
          <w:rPr>
            <w:noProof/>
            <w:webHidden/>
          </w:rPr>
        </w:r>
        <w:r>
          <w:rPr>
            <w:noProof/>
            <w:webHidden/>
          </w:rPr>
          <w:fldChar w:fldCharType="separate"/>
        </w:r>
        <w:r w:rsidR="00D35914">
          <w:rPr>
            <w:noProof/>
            <w:webHidden/>
          </w:rPr>
          <w:t>7</w:t>
        </w:r>
        <w:r>
          <w:rPr>
            <w:noProof/>
            <w:webHidden/>
          </w:rPr>
          <w:fldChar w:fldCharType="end"/>
        </w:r>
      </w:hyperlink>
    </w:p>
    <w:p w14:paraId="76D7318D" w14:textId="09F356A9" w:rsidR="00623D1A" w:rsidRDefault="00623D1A">
      <w:pPr>
        <w:pStyle w:val="Verzeichnis1"/>
        <w:rPr>
          <w:rFonts w:asciiTheme="minorHAnsi" w:eastAsiaTheme="minorEastAsia" w:hAnsiTheme="minorHAnsi" w:cstheme="minorBidi"/>
          <w:b w:val="0"/>
          <w:noProof/>
          <w:color w:val="auto"/>
          <w:kern w:val="0"/>
          <w:szCs w:val="24"/>
        </w:rPr>
      </w:pPr>
      <w:hyperlink w:anchor="_Toc57811242" w:history="1">
        <w:r w:rsidRPr="001D6007">
          <w:rPr>
            <w:rStyle w:val="Hyperlink"/>
            <w:rFonts w:eastAsia="OpenSymbol"/>
            <w:noProof/>
            <w:lang w:val="en" w:bidi="hi-IN"/>
          </w:rPr>
          <w:t>Resumen</w:t>
        </w:r>
        <w:r>
          <w:rPr>
            <w:noProof/>
            <w:webHidden/>
          </w:rPr>
          <w:tab/>
        </w:r>
        <w:r>
          <w:rPr>
            <w:noProof/>
            <w:webHidden/>
          </w:rPr>
          <w:fldChar w:fldCharType="begin"/>
        </w:r>
        <w:r>
          <w:rPr>
            <w:noProof/>
            <w:webHidden/>
          </w:rPr>
          <w:instrText xml:space="preserve"> PAGEREF _Toc57811242 \h </w:instrText>
        </w:r>
        <w:r>
          <w:rPr>
            <w:noProof/>
            <w:webHidden/>
          </w:rPr>
        </w:r>
        <w:r>
          <w:rPr>
            <w:noProof/>
            <w:webHidden/>
          </w:rPr>
          <w:fldChar w:fldCharType="separate"/>
        </w:r>
        <w:r w:rsidR="00D35914">
          <w:rPr>
            <w:noProof/>
            <w:webHidden/>
          </w:rPr>
          <w:t>10</w:t>
        </w:r>
        <w:r>
          <w:rPr>
            <w:noProof/>
            <w:webHidden/>
          </w:rPr>
          <w:fldChar w:fldCharType="end"/>
        </w:r>
      </w:hyperlink>
    </w:p>
    <w:p w14:paraId="3894E24A" w14:textId="3CAB797A"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43" w:history="1">
        <w:r w:rsidRPr="001D6007">
          <w:rPr>
            <w:rStyle w:val="Hyperlink"/>
            <w:rFonts w:eastAsia="OpenSymbol"/>
            <w:noProof/>
            <w:lang w:val="en" w:bidi="hi-IN"/>
          </w:rPr>
          <w:t>Ampliación consecuente de la estrategia E-Performance</w:t>
        </w:r>
        <w:r>
          <w:rPr>
            <w:noProof/>
            <w:webHidden/>
          </w:rPr>
          <w:tab/>
        </w:r>
        <w:r>
          <w:rPr>
            <w:noProof/>
            <w:webHidden/>
          </w:rPr>
          <w:fldChar w:fldCharType="begin"/>
        </w:r>
        <w:r>
          <w:rPr>
            <w:noProof/>
            <w:webHidden/>
          </w:rPr>
          <w:instrText xml:space="preserve"> PAGEREF _Toc57811243 \h </w:instrText>
        </w:r>
        <w:r>
          <w:rPr>
            <w:noProof/>
            <w:webHidden/>
          </w:rPr>
        </w:r>
        <w:r>
          <w:rPr>
            <w:noProof/>
            <w:webHidden/>
          </w:rPr>
          <w:fldChar w:fldCharType="separate"/>
        </w:r>
        <w:r w:rsidR="00D35914">
          <w:rPr>
            <w:noProof/>
            <w:webHidden/>
          </w:rPr>
          <w:t>10</w:t>
        </w:r>
        <w:r>
          <w:rPr>
            <w:noProof/>
            <w:webHidden/>
          </w:rPr>
          <w:fldChar w:fldCharType="end"/>
        </w:r>
      </w:hyperlink>
    </w:p>
    <w:p w14:paraId="42B9F24C" w14:textId="18147E2C" w:rsidR="00623D1A" w:rsidRDefault="00623D1A">
      <w:pPr>
        <w:pStyle w:val="Verzeichnis1"/>
        <w:rPr>
          <w:rFonts w:asciiTheme="minorHAnsi" w:eastAsiaTheme="minorEastAsia" w:hAnsiTheme="minorHAnsi" w:cstheme="minorBidi"/>
          <w:b w:val="0"/>
          <w:noProof/>
          <w:color w:val="auto"/>
          <w:kern w:val="0"/>
          <w:szCs w:val="24"/>
        </w:rPr>
      </w:pPr>
      <w:hyperlink w:anchor="_Toc57811244" w:history="1">
        <w:r w:rsidRPr="001D6007">
          <w:rPr>
            <w:rStyle w:val="Hyperlink"/>
            <w:rFonts w:eastAsia="OpenSymbol"/>
            <w:noProof/>
            <w:lang w:val="en" w:bidi="hi-IN"/>
          </w:rPr>
          <w:t>Accionamiento y rendimiento</w:t>
        </w:r>
        <w:r>
          <w:rPr>
            <w:noProof/>
            <w:webHidden/>
          </w:rPr>
          <w:tab/>
        </w:r>
        <w:r>
          <w:rPr>
            <w:noProof/>
            <w:webHidden/>
          </w:rPr>
          <w:fldChar w:fldCharType="begin"/>
        </w:r>
        <w:r>
          <w:rPr>
            <w:noProof/>
            <w:webHidden/>
          </w:rPr>
          <w:instrText xml:space="preserve"> PAGEREF _Toc57811244 \h </w:instrText>
        </w:r>
        <w:r>
          <w:rPr>
            <w:noProof/>
            <w:webHidden/>
          </w:rPr>
        </w:r>
        <w:r>
          <w:rPr>
            <w:noProof/>
            <w:webHidden/>
          </w:rPr>
          <w:fldChar w:fldCharType="separate"/>
        </w:r>
        <w:r w:rsidR="00D35914">
          <w:rPr>
            <w:noProof/>
            <w:webHidden/>
          </w:rPr>
          <w:t>13</w:t>
        </w:r>
        <w:r>
          <w:rPr>
            <w:noProof/>
            <w:webHidden/>
          </w:rPr>
          <w:fldChar w:fldCharType="end"/>
        </w:r>
      </w:hyperlink>
    </w:p>
    <w:p w14:paraId="72911709" w14:textId="58A7B5D1"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45" w:history="1">
        <w:r w:rsidRPr="001D6007">
          <w:rPr>
            <w:rStyle w:val="Hyperlink"/>
            <w:rFonts w:eastAsia="OpenSymbol"/>
            <w:noProof/>
            <w:lang w:val="en" w:bidi="hi-IN"/>
          </w:rPr>
          <w:t>Un eficiente trío de híbridos con un máximo de 700 CV</w:t>
        </w:r>
        <w:r>
          <w:rPr>
            <w:noProof/>
            <w:webHidden/>
          </w:rPr>
          <w:tab/>
        </w:r>
        <w:r>
          <w:rPr>
            <w:noProof/>
            <w:webHidden/>
          </w:rPr>
          <w:fldChar w:fldCharType="begin"/>
        </w:r>
        <w:r>
          <w:rPr>
            <w:noProof/>
            <w:webHidden/>
          </w:rPr>
          <w:instrText xml:space="preserve"> PAGEREF _Toc57811245 \h </w:instrText>
        </w:r>
        <w:r>
          <w:rPr>
            <w:noProof/>
            <w:webHidden/>
          </w:rPr>
        </w:r>
        <w:r>
          <w:rPr>
            <w:noProof/>
            <w:webHidden/>
          </w:rPr>
          <w:fldChar w:fldCharType="separate"/>
        </w:r>
        <w:r w:rsidR="00D35914">
          <w:rPr>
            <w:noProof/>
            <w:webHidden/>
          </w:rPr>
          <w:t>13</w:t>
        </w:r>
        <w:r>
          <w:rPr>
            <w:noProof/>
            <w:webHidden/>
          </w:rPr>
          <w:fldChar w:fldCharType="end"/>
        </w:r>
      </w:hyperlink>
    </w:p>
    <w:p w14:paraId="432DB4C6" w14:textId="7F1CB5ED"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46" w:history="1">
        <w:r w:rsidRPr="001D6007">
          <w:rPr>
            <w:rStyle w:val="Hyperlink"/>
            <w:rFonts w:eastAsia="OpenSymbol"/>
            <w:noProof/>
            <w:lang w:val="en" w:bidi="hi-IN"/>
          </w:rPr>
          <w:t>Panamera 4S E-Hybrid</w:t>
        </w:r>
        <w:r>
          <w:rPr>
            <w:noProof/>
            <w:webHidden/>
          </w:rPr>
          <w:tab/>
        </w:r>
        <w:r>
          <w:rPr>
            <w:noProof/>
            <w:webHidden/>
          </w:rPr>
          <w:fldChar w:fldCharType="begin"/>
        </w:r>
        <w:r>
          <w:rPr>
            <w:noProof/>
            <w:webHidden/>
          </w:rPr>
          <w:instrText xml:space="preserve"> PAGEREF _Toc57811246 \h </w:instrText>
        </w:r>
        <w:r>
          <w:rPr>
            <w:noProof/>
            <w:webHidden/>
          </w:rPr>
        </w:r>
        <w:r>
          <w:rPr>
            <w:noProof/>
            <w:webHidden/>
          </w:rPr>
          <w:fldChar w:fldCharType="separate"/>
        </w:r>
        <w:r w:rsidR="00D35914">
          <w:rPr>
            <w:noProof/>
            <w:webHidden/>
          </w:rPr>
          <w:t>13</w:t>
        </w:r>
        <w:r>
          <w:rPr>
            <w:noProof/>
            <w:webHidden/>
          </w:rPr>
          <w:fldChar w:fldCharType="end"/>
        </w:r>
      </w:hyperlink>
    </w:p>
    <w:p w14:paraId="4B7CD730" w14:textId="36A70D4F"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47" w:history="1">
        <w:r w:rsidRPr="001D6007">
          <w:rPr>
            <w:rStyle w:val="Hyperlink"/>
            <w:rFonts w:eastAsia="OpenSymbol"/>
            <w:noProof/>
            <w:lang w:val="en" w:bidi="hi-IN"/>
          </w:rPr>
          <w:t>Panamera 4 E-Hybrid</w:t>
        </w:r>
        <w:r>
          <w:rPr>
            <w:noProof/>
            <w:webHidden/>
          </w:rPr>
          <w:tab/>
        </w:r>
        <w:r>
          <w:rPr>
            <w:noProof/>
            <w:webHidden/>
          </w:rPr>
          <w:fldChar w:fldCharType="begin"/>
        </w:r>
        <w:r>
          <w:rPr>
            <w:noProof/>
            <w:webHidden/>
          </w:rPr>
          <w:instrText xml:space="preserve"> PAGEREF _Toc57811247 \h </w:instrText>
        </w:r>
        <w:r>
          <w:rPr>
            <w:noProof/>
            <w:webHidden/>
          </w:rPr>
        </w:r>
        <w:r>
          <w:rPr>
            <w:noProof/>
            <w:webHidden/>
          </w:rPr>
          <w:fldChar w:fldCharType="separate"/>
        </w:r>
        <w:r w:rsidR="00D35914">
          <w:rPr>
            <w:noProof/>
            <w:webHidden/>
          </w:rPr>
          <w:t>13</w:t>
        </w:r>
        <w:r>
          <w:rPr>
            <w:noProof/>
            <w:webHidden/>
          </w:rPr>
          <w:fldChar w:fldCharType="end"/>
        </w:r>
      </w:hyperlink>
    </w:p>
    <w:p w14:paraId="0F581C50" w14:textId="0F5D34E7"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48" w:history="1">
        <w:r w:rsidRPr="001D6007">
          <w:rPr>
            <w:rStyle w:val="Hyperlink"/>
            <w:rFonts w:eastAsia="OpenSymbol"/>
            <w:noProof/>
            <w:lang w:val="en" w:bidi="hi-IN"/>
          </w:rPr>
          <w:t>Panamera Turbo S E-Hybrid</w:t>
        </w:r>
        <w:r>
          <w:rPr>
            <w:noProof/>
            <w:webHidden/>
          </w:rPr>
          <w:tab/>
        </w:r>
        <w:r>
          <w:rPr>
            <w:noProof/>
            <w:webHidden/>
          </w:rPr>
          <w:fldChar w:fldCharType="begin"/>
        </w:r>
        <w:r>
          <w:rPr>
            <w:noProof/>
            <w:webHidden/>
          </w:rPr>
          <w:instrText xml:space="preserve"> PAGEREF _Toc57811248 \h </w:instrText>
        </w:r>
        <w:r>
          <w:rPr>
            <w:noProof/>
            <w:webHidden/>
          </w:rPr>
        </w:r>
        <w:r>
          <w:rPr>
            <w:noProof/>
            <w:webHidden/>
          </w:rPr>
          <w:fldChar w:fldCharType="separate"/>
        </w:r>
        <w:r w:rsidR="00D35914">
          <w:rPr>
            <w:noProof/>
            <w:webHidden/>
          </w:rPr>
          <w:t>13</w:t>
        </w:r>
        <w:r>
          <w:rPr>
            <w:noProof/>
            <w:webHidden/>
          </w:rPr>
          <w:fldChar w:fldCharType="end"/>
        </w:r>
      </w:hyperlink>
    </w:p>
    <w:p w14:paraId="4242F4AA" w14:textId="2B99A43D"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49" w:history="1">
        <w:r w:rsidRPr="001D6007">
          <w:rPr>
            <w:rStyle w:val="Hyperlink"/>
            <w:rFonts w:eastAsia="OpenSymbol"/>
            <w:noProof/>
            <w:lang w:val="en" w:bidi="hi-IN"/>
          </w:rPr>
          <w:t>Tecnología enchufable y modos de conducción</w:t>
        </w:r>
        <w:r>
          <w:rPr>
            <w:noProof/>
            <w:webHidden/>
          </w:rPr>
          <w:tab/>
        </w:r>
        <w:r>
          <w:rPr>
            <w:noProof/>
            <w:webHidden/>
          </w:rPr>
          <w:fldChar w:fldCharType="begin"/>
        </w:r>
        <w:r>
          <w:rPr>
            <w:noProof/>
            <w:webHidden/>
          </w:rPr>
          <w:instrText xml:space="preserve"> PAGEREF _Toc57811249 \h </w:instrText>
        </w:r>
        <w:r>
          <w:rPr>
            <w:noProof/>
            <w:webHidden/>
          </w:rPr>
        </w:r>
        <w:r>
          <w:rPr>
            <w:noProof/>
            <w:webHidden/>
          </w:rPr>
          <w:fldChar w:fldCharType="separate"/>
        </w:r>
        <w:r w:rsidR="00D35914">
          <w:rPr>
            <w:noProof/>
            <w:webHidden/>
          </w:rPr>
          <w:t>14</w:t>
        </w:r>
        <w:r>
          <w:rPr>
            <w:noProof/>
            <w:webHidden/>
          </w:rPr>
          <w:fldChar w:fldCharType="end"/>
        </w:r>
      </w:hyperlink>
    </w:p>
    <w:p w14:paraId="1DB1022A" w14:textId="37AB2741"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50" w:history="1">
        <w:r w:rsidRPr="001D6007">
          <w:rPr>
            <w:rStyle w:val="Hyperlink"/>
            <w:rFonts w:eastAsia="OpenSymbol"/>
            <w:noProof/>
            <w:lang w:val="en" w:bidi="hi-IN"/>
          </w:rPr>
          <w:t>Modos optimizados para la experiencia de conducción eléctrica</w:t>
        </w:r>
        <w:r>
          <w:rPr>
            <w:noProof/>
            <w:webHidden/>
          </w:rPr>
          <w:tab/>
        </w:r>
        <w:r>
          <w:rPr>
            <w:noProof/>
            <w:webHidden/>
          </w:rPr>
          <w:fldChar w:fldCharType="begin"/>
        </w:r>
        <w:r>
          <w:rPr>
            <w:noProof/>
            <w:webHidden/>
          </w:rPr>
          <w:instrText xml:space="preserve"> PAGEREF _Toc57811250 \h </w:instrText>
        </w:r>
        <w:r>
          <w:rPr>
            <w:noProof/>
            <w:webHidden/>
          </w:rPr>
        </w:r>
        <w:r>
          <w:rPr>
            <w:noProof/>
            <w:webHidden/>
          </w:rPr>
          <w:fldChar w:fldCharType="separate"/>
        </w:r>
        <w:r w:rsidR="00D35914">
          <w:rPr>
            <w:noProof/>
            <w:webHidden/>
          </w:rPr>
          <w:t>14</w:t>
        </w:r>
        <w:r>
          <w:rPr>
            <w:noProof/>
            <w:webHidden/>
          </w:rPr>
          <w:fldChar w:fldCharType="end"/>
        </w:r>
      </w:hyperlink>
    </w:p>
    <w:p w14:paraId="2AACC805" w14:textId="78008144" w:rsidR="00623D1A" w:rsidRDefault="00623D1A">
      <w:pPr>
        <w:pStyle w:val="Verzeichnis1"/>
        <w:rPr>
          <w:rFonts w:asciiTheme="minorHAnsi" w:eastAsiaTheme="minorEastAsia" w:hAnsiTheme="minorHAnsi" w:cstheme="minorBidi"/>
          <w:b w:val="0"/>
          <w:noProof/>
          <w:color w:val="auto"/>
          <w:kern w:val="0"/>
          <w:szCs w:val="24"/>
        </w:rPr>
      </w:pPr>
      <w:hyperlink w:anchor="_Toc57811251" w:history="1">
        <w:r w:rsidRPr="001D6007">
          <w:rPr>
            <w:rStyle w:val="Hyperlink"/>
            <w:rFonts w:eastAsia="OpenSymbol"/>
            <w:noProof/>
            <w:lang w:val="en" w:bidi="hi-IN"/>
          </w:rPr>
          <w:t>Chasis y sistemas de chasis</w:t>
        </w:r>
        <w:r>
          <w:rPr>
            <w:noProof/>
            <w:webHidden/>
          </w:rPr>
          <w:tab/>
        </w:r>
        <w:r>
          <w:rPr>
            <w:noProof/>
            <w:webHidden/>
          </w:rPr>
          <w:fldChar w:fldCharType="begin"/>
        </w:r>
        <w:r>
          <w:rPr>
            <w:noProof/>
            <w:webHidden/>
          </w:rPr>
          <w:instrText xml:space="preserve"> PAGEREF _Toc57811251 \h </w:instrText>
        </w:r>
        <w:r>
          <w:rPr>
            <w:noProof/>
            <w:webHidden/>
          </w:rPr>
        </w:r>
        <w:r>
          <w:rPr>
            <w:noProof/>
            <w:webHidden/>
          </w:rPr>
          <w:fldChar w:fldCharType="separate"/>
        </w:r>
        <w:r w:rsidR="00D35914">
          <w:rPr>
            <w:noProof/>
            <w:webHidden/>
          </w:rPr>
          <w:t>17</w:t>
        </w:r>
        <w:r>
          <w:rPr>
            <w:noProof/>
            <w:webHidden/>
          </w:rPr>
          <w:fldChar w:fldCharType="end"/>
        </w:r>
      </w:hyperlink>
    </w:p>
    <w:p w14:paraId="41823B96" w14:textId="37E30BAF"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52" w:history="1">
        <w:r w:rsidRPr="001D6007">
          <w:rPr>
            <w:rStyle w:val="Hyperlink"/>
            <w:rFonts w:eastAsia="OpenSymbol"/>
            <w:noProof/>
            <w:lang w:val="en" w:bidi="hi-IN"/>
          </w:rPr>
          <w:t>Rango más amplio entre el carácter deportivo y el confort</w:t>
        </w:r>
        <w:r>
          <w:rPr>
            <w:noProof/>
            <w:webHidden/>
          </w:rPr>
          <w:tab/>
        </w:r>
        <w:r>
          <w:rPr>
            <w:noProof/>
            <w:webHidden/>
          </w:rPr>
          <w:fldChar w:fldCharType="begin"/>
        </w:r>
        <w:r>
          <w:rPr>
            <w:noProof/>
            <w:webHidden/>
          </w:rPr>
          <w:instrText xml:space="preserve"> PAGEREF _Toc57811252 \h </w:instrText>
        </w:r>
        <w:r>
          <w:rPr>
            <w:noProof/>
            <w:webHidden/>
          </w:rPr>
        </w:r>
        <w:r>
          <w:rPr>
            <w:noProof/>
            <w:webHidden/>
          </w:rPr>
          <w:fldChar w:fldCharType="separate"/>
        </w:r>
        <w:r w:rsidR="00D35914">
          <w:rPr>
            <w:noProof/>
            <w:webHidden/>
          </w:rPr>
          <w:t>17</w:t>
        </w:r>
        <w:r>
          <w:rPr>
            <w:noProof/>
            <w:webHidden/>
          </w:rPr>
          <w:fldChar w:fldCharType="end"/>
        </w:r>
      </w:hyperlink>
    </w:p>
    <w:p w14:paraId="3C34C62E" w14:textId="7B0A5819"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53" w:history="1">
        <w:r w:rsidRPr="001D6007">
          <w:rPr>
            <w:rStyle w:val="Hyperlink"/>
            <w:rFonts w:eastAsia="OpenSymbol"/>
            <w:noProof/>
            <w:lang w:val="en" w:bidi="hi-IN"/>
          </w:rPr>
          <w:t>Nuevos neumáticos y diseños de llantas</w:t>
        </w:r>
        <w:r>
          <w:rPr>
            <w:noProof/>
            <w:webHidden/>
          </w:rPr>
          <w:tab/>
        </w:r>
        <w:r>
          <w:rPr>
            <w:noProof/>
            <w:webHidden/>
          </w:rPr>
          <w:fldChar w:fldCharType="begin"/>
        </w:r>
        <w:r>
          <w:rPr>
            <w:noProof/>
            <w:webHidden/>
          </w:rPr>
          <w:instrText xml:space="preserve"> PAGEREF _Toc57811253 \h </w:instrText>
        </w:r>
        <w:r>
          <w:rPr>
            <w:noProof/>
            <w:webHidden/>
          </w:rPr>
        </w:r>
        <w:r>
          <w:rPr>
            <w:noProof/>
            <w:webHidden/>
          </w:rPr>
          <w:fldChar w:fldCharType="separate"/>
        </w:r>
        <w:r w:rsidR="00D35914">
          <w:rPr>
            <w:noProof/>
            <w:webHidden/>
          </w:rPr>
          <w:t>17</w:t>
        </w:r>
        <w:r>
          <w:rPr>
            <w:noProof/>
            <w:webHidden/>
          </w:rPr>
          <w:fldChar w:fldCharType="end"/>
        </w:r>
      </w:hyperlink>
    </w:p>
    <w:p w14:paraId="4FA3A0A3" w14:textId="52452133"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54" w:history="1">
        <w:r w:rsidRPr="001D6007">
          <w:rPr>
            <w:rStyle w:val="Hyperlink"/>
            <w:rFonts w:eastAsia="OpenSymbol"/>
            <w:noProof/>
            <w:lang w:val="en" w:bidi="hi-IN"/>
          </w:rPr>
          <w:t>Amplificador de fuerza de frenado electromecánico optimizado</w:t>
        </w:r>
        <w:r>
          <w:rPr>
            <w:noProof/>
            <w:webHidden/>
          </w:rPr>
          <w:tab/>
        </w:r>
        <w:r>
          <w:rPr>
            <w:noProof/>
            <w:webHidden/>
          </w:rPr>
          <w:fldChar w:fldCharType="begin"/>
        </w:r>
        <w:r>
          <w:rPr>
            <w:noProof/>
            <w:webHidden/>
          </w:rPr>
          <w:instrText xml:space="preserve"> PAGEREF _Toc57811254 \h </w:instrText>
        </w:r>
        <w:r>
          <w:rPr>
            <w:noProof/>
            <w:webHidden/>
          </w:rPr>
        </w:r>
        <w:r>
          <w:rPr>
            <w:noProof/>
            <w:webHidden/>
          </w:rPr>
          <w:fldChar w:fldCharType="separate"/>
        </w:r>
        <w:r w:rsidR="00D35914">
          <w:rPr>
            <w:noProof/>
            <w:webHidden/>
          </w:rPr>
          <w:t>18</w:t>
        </w:r>
        <w:r>
          <w:rPr>
            <w:noProof/>
            <w:webHidden/>
          </w:rPr>
          <w:fldChar w:fldCharType="end"/>
        </w:r>
      </w:hyperlink>
    </w:p>
    <w:p w14:paraId="53566375" w14:textId="3EB921BE" w:rsidR="00623D1A" w:rsidRDefault="00623D1A">
      <w:pPr>
        <w:pStyle w:val="Verzeichnis1"/>
        <w:rPr>
          <w:rFonts w:asciiTheme="minorHAnsi" w:eastAsiaTheme="minorEastAsia" w:hAnsiTheme="minorHAnsi" w:cstheme="minorBidi"/>
          <w:b w:val="0"/>
          <w:noProof/>
          <w:color w:val="auto"/>
          <w:kern w:val="0"/>
          <w:szCs w:val="24"/>
        </w:rPr>
      </w:pPr>
      <w:hyperlink w:anchor="_Toc57811255" w:history="1">
        <w:r w:rsidRPr="001D6007">
          <w:rPr>
            <w:rStyle w:val="Hyperlink"/>
            <w:rFonts w:eastAsia="OpenSymbol"/>
            <w:noProof/>
            <w:lang w:val="en" w:bidi="hi-IN"/>
          </w:rPr>
          <w:t>Conectividad e infotainment</w:t>
        </w:r>
        <w:r>
          <w:rPr>
            <w:noProof/>
            <w:webHidden/>
          </w:rPr>
          <w:tab/>
        </w:r>
        <w:r>
          <w:rPr>
            <w:noProof/>
            <w:webHidden/>
          </w:rPr>
          <w:fldChar w:fldCharType="begin"/>
        </w:r>
        <w:r>
          <w:rPr>
            <w:noProof/>
            <w:webHidden/>
          </w:rPr>
          <w:instrText xml:space="preserve"> PAGEREF _Toc57811255 \h </w:instrText>
        </w:r>
        <w:r>
          <w:rPr>
            <w:noProof/>
            <w:webHidden/>
          </w:rPr>
        </w:r>
        <w:r>
          <w:rPr>
            <w:noProof/>
            <w:webHidden/>
          </w:rPr>
          <w:fldChar w:fldCharType="separate"/>
        </w:r>
        <w:r w:rsidR="00D35914">
          <w:rPr>
            <w:noProof/>
            <w:webHidden/>
          </w:rPr>
          <w:t>19</w:t>
        </w:r>
        <w:r>
          <w:rPr>
            <w:noProof/>
            <w:webHidden/>
          </w:rPr>
          <w:fldChar w:fldCharType="end"/>
        </w:r>
      </w:hyperlink>
    </w:p>
    <w:p w14:paraId="34325BF7" w14:textId="2415257D"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56" w:history="1">
        <w:r w:rsidRPr="001D6007">
          <w:rPr>
            <w:rStyle w:val="Hyperlink"/>
            <w:rFonts w:eastAsia="OpenSymbol"/>
            <w:noProof/>
            <w:lang w:val="en" w:bidi="hi-IN"/>
          </w:rPr>
          <w:t>Interconexión mejorada</w:t>
        </w:r>
        <w:r>
          <w:rPr>
            <w:noProof/>
            <w:webHidden/>
          </w:rPr>
          <w:tab/>
        </w:r>
        <w:r>
          <w:rPr>
            <w:noProof/>
            <w:webHidden/>
          </w:rPr>
          <w:fldChar w:fldCharType="begin"/>
        </w:r>
        <w:r>
          <w:rPr>
            <w:noProof/>
            <w:webHidden/>
          </w:rPr>
          <w:instrText xml:space="preserve"> PAGEREF _Toc57811256 \h </w:instrText>
        </w:r>
        <w:r>
          <w:rPr>
            <w:noProof/>
            <w:webHidden/>
          </w:rPr>
        </w:r>
        <w:r>
          <w:rPr>
            <w:noProof/>
            <w:webHidden/>
          </w:rPr>
          <w:fldChar w:fldCharType="separate"/>
        </w:r>
        <w:r w:rsidR="00D35914">
          <w:rPr>
            <w:noProof/>
            <w:webHidden/>
          </w:rPr>
          <w:t>19</w:t>
        </w:r>
        <w:r>
          <w:rPr>
            <w:noProof/>
            <w:webHidden/>
          </w:rPr>
          <w:fldChar w:fldCharType="end"/>
        </w:r>
      </w:hyperlink>
    </w:p>
    <w:p w14:paraId="0AFEF21E" w14:textId="2FB2CCC7"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57" w:history="1">
        <w:r w:rsidRPr="001D6007">
          <w:rPr>
            <w:rStyle w:val="Hyperlink"/>
            <w:rFonts w:eastAsia="OpenSymbol"/>
            <w:noProof/>
            <w:lang w:val="en" w:bidi="hi-IN"/>
          </w:rPr>
          <w:t>Connect Plus</w:t>
        </w:r>
        <w:r>
          <w:rPr>
            <w:noProof/>
            <w:webHidden/>
          </w:rPr>
          <w:tab/>
        </w:r>
        <w:r>
          <w:rPr>
            <w:noProof/>
            <w:webHidden/>
          </w:rPr>
          <w:fldChar w:fldCharType="begin"/>
        </w:r>
        <w:r>
          <w:rPr>
            <w:noProof/>
            <w:webHidden/>
          </w:rPr>
          <w:instrText xml:space="preserve"> PAGEREF _Toc57811257 \h </w:instrText>
        </w:r>
        <w:r>
          <w:rPr>
            <w:noProof/>
            <w:webHidden/>
          </w:rPr>
        </w:r>
        <w:r>
          <w:rPr>
            <w:noProof/>
            <w:webHidden/>
          </w:rPr>
          <w:fldChar w:fldCharType="separate"/>
        </w:r>
        <w:r w:rsidR="00D35914">
          <w:rPr>
            <w:noProof/>
            <w:webHidden/>
          </w:rPr>
          <w:t>19</w:t>
        </w:r>
        <w:r>
          <w:rPr>
            <w:noProof/>
            <w:webHidden/>
          </w:rPr>
          <w:fldChar w:fldCharType="end"/>
        </w:r>
      </w:hyperlink>
    </w:p>
    <w:p w14:paraId="719B2523" w14:textId="77EA6894"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58" w:history="1">
        <w:r w:rsidRPr="001D6007">
          <w:rPr>
            <w:rStyle w:val="Hyperlink"/>
            <w:rFonts w:eastAsia="OpenSymbol"/>
            <w:noProof/>
            <w:lang w:val="en" w:bidi="hi-IN"/>
          </w:rPr>
          <w:t>Apple</w:t>
        </w:r>
        <w:r w:rsidRPr="001D6007">
          <w:rPr>
            <w:rStyle w:val="Hyperlink"/>
            <w:rFonts w:eastAsia="OpenSymbol"/>
            <w:noProof/>
            <w:vertAlign w:val="superscript"/>
            <w:lang w:val="en" w:bidi="hi-IN"/>
          </w:rPr>
          <w:t>®</w:t>
        </w:r>
        <w:r w:rsidRPr="001D6007">
          <w:rPr>
            <w:rStyle w:val="Hyperlink"/>
            <w:rFonts w:eastAsia="OpenSymbol"/>
            <w:noProof/>
            <w:lang w:val="en" w:bidi="hi-IN"/>
          </w:rPr>
          <w:t xml:space="preserve"> CarPlay</w:t>
        </w:r>
        <w:r>
          <w:rPr>
            <w:noProof/>
            <w:webHidden/>
          </w:rPr>
          <w:tab/>
        </w:r>
        <w:r>
          <w:rPr>
            <w:noProof/>
            <w:webHidden/>
          </w:rPr>
          <w:fldChar w:fldCharType="begin"/>
        </w:r>
        <w:r>
          <w:rPr>
            <w:noProof/>
            <w:webHidden/>
          </w:rPr>
          <w:instrText xml:space="preserve"> PAGEREF _Toc57811258 \h </w:instrText>
        </w:r>
        <w:r>
          <w:rPr>
            <w:noProof/>
            <w:webHidden/>
          </w:rPr>
        </w:r>
        <w:r>
          <w:rPr>
            <w:noProof/>
            <w:webHidden/>
          </w:rPr>
          <w:fldChar w:fldCharType="separate"/>
        </w:r>
        <w:r w:rsidR="00D35914">
          <w:rPr>
            <w:noProof/>
            <w:webHidden/>
          </w:rPr>
          <w:t>20</w:t>
        </w:r>
        <w:r>
          <w:rPr>
            <w:noProof/>
            <w:webHidden/>
          </w:rPr>
          <w:fldChar w:fldCharType="end"/>
        </w:r>
      </w:hyperlink>
    </w:p>
    <w:p w14:paraId="67ECB16A" w14:textId="7E557302"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59" w:history="1">
        <w:r w:rsidRPr="001D6007">
          <w:rPr>
            <w:rStyle w:val="Hyperlink"/>
            <w:rFonts w:eastAsia="OpenSymbol"/>
            <w:noProof/>
            <w:lang w:val="en" w:bidi="hi-IN"/>
          </w:rPr>
          <w:t>Bandeja para smartphone con función de carga inductiva</w:t>
        </w:r>
        <w:r>
          <w:rPr>
            <w:noProof/>
            <w:webHidden/>
          </w:rPr>
          <w:tab/>
        </w:r>
        <w:r>
          <w:rPr>
            <w:noProof/>
            <w:webHidden/>
          </w:rPr>
          <w:fldChar w:fldCharType="begin"/>
        </w:r>
        <w:r>
          <w:rPr>
            <w:noProof/>
            <w:webHidden/>
          </w:rPr>
          <w:instrText xml:space="preserve"> PAGEREF _Toc57811259 \h </w:instrText>
        </w:r>
        <w:r>
          <w:rPr>
            <w:noProof/>
            <w:webHidden/>
          </w:rPr>
        </w:r>
        <w:r>
          <w:rPr>
            <w:noProof/>
            <w:webHidden/>
          </w:rPr>
          <w:fldChar w:fldCharType="separate"/>
        </w:r>
        <w:r w:rsidR="00D35914">
          <w:rPr>
            <w:noProof/>
            <w:webHidden/>
          </w:rPr>
          <w:t>20</w:t>
        </w:r>
        <w:r>
          <w:rPr>
            <w:noProof/>
            <w:webHidden/>
          </w:rPr>
          <w:fldChar w:fldCharType="end"/>
        </w:r>
      </w:hyperlink>
    </w:p>
    <w:p w14:paraId="7E5F1987" w14:textId="7C56E2B0"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60" w:history="1">
        <w:r w:rsidRPr="001D6007">
          <w:rPr>
            <w:rStyle w:val="Hyperlink"/>
            <w:rFonts w:eastAsia="OpenSymbol"/>
            <w:noProof/>
            <w:lang w:val="en" w:bidi="hi-IN"/>
          </w:rPr>
          <w:t>Servicios Connect con nuevas funciones</w:t>
        </w:r>
        <w:r>
          <w:rPr>
            <w:noProof/>
            <w:webHidden/>
          </w:rPr>
          <w:tab/>
        </w:r>
        <w:r>
          <w:rPr>
            <w:noProof/>
            <w:webHidden/>
          </w:rPr>
          <w:fldChar w:fldCharType="begin"/>
        </w:r>
        <w:r>
          <w:rPr>
            <w:noProof/>
            <w:webHidden/>
          </w:rPr>
          <w:instrText xml:space="preserve"> PAGEREF _Toc57811260 \h </w:instrText>
        </w:r>
        <w:r>
          <w:rPr>
            <w:noProof/>
            <w:webHidden/>
          </w:rPr>
        </w:r>
        <w:r>
          <w:rPr>
            <w:noProof/>
            <w:webHidden/>
          </w:rPr>
          <w:fldChar w:fldCharType="separate"/>
        </w:r>
        <w:r w:rsidR="00D35914">
          <w:rPr>
            <w:noProof/>
            <w:webHidden/>
          </w:rPr>
          <w:t>20</w:t>
        </w:r>
        <w:r>
          <w:rPr>
            <w:noProof/>
            <w:webHidden/>
          </w:rPr>
          <w:fldChar w:fldCharType="end"/>
        </w:r>
      </w:hyperlink>
    </w:p>
    <w:p w14:paraId="21635112" w14:textId="32333A1A"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61" w:history="1">
        <w:r w:rsidRPr="001D6007">
          <w:rPr>
            <w:rStyle w:val="Hyperlink"/>
            <w:rFonts w:eastAsia="OpenSymbol"/>
            <w:noProof/>
            <w:lang w:val="en" w:bidi="hi-IN"/>
          </w:rPr>
          <w:t>Recepción siempre óptima mediante Radio Plus</w:t>
        </w:r>
        <w:r>
          <w:rPr>
            <w:noProof/>
            <w:webHidden/>
          </w:rPr>
          <w:tab/>
        </w:r>
        <w:r>
          <w:rPr>
            <w:noProof/>
            <w:webHidden/>
          </w:rPr>
          <w:fldChar w:fldCharType="begin"/>
        </w:r>
        <w:r>
          <w:rPr>
            <w:noProof/>
            <w:webHidden/>
          </w:rPr>
          <w:instrText xml:space="preserve"> PAGEREF _Toc57811261 \h </w:instrText>
        </w:r>
        <w:r>
          <w:rPr>
            <w:noProof/>
            <w:webHidden/>
          </w:rPr>
        </w:r>
        <w:r>
          <w:rPr>
            <w:noProof/>
            <w:webHidden/>
          </w:rPr>
          <w:fldChar w:fldCharType="separate"/>
        </w:r>
        <w:r w:rsidR="00D35914">
          <w:rPr>
            <w:noProof/>
            <w:webHidden/>
          </w:rPr>
          <w:t>21</w:t>
        </w:r>
        <w:r>
          <w:rPr>
            <w:noProof/>
            <w:webHidden/>
          </w:rPr>
          <w:fldChar w:fldCharType="end"/>
        </w:r>
      </w:hyperlink>
    </w:p>
    <w:p w14:paraId="7A29F148" w14:textId="6C7DE71D"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62" w:history="1">
        <w:r w:rsidRPr="001D6007">
          <w:rPr>
            <w:rStyle w:val="Hyperlink"/>
            <w:rFonts w:eastAsia="OpenSymbol"/>
            <w:noProof/>
            <w:lang w:val="en" w:bidi="hi-IN"/>
          </w:rPr>
          <w:t>Voice Pilot con reconocimiento de voz mejorado</w:t>
        </w:r>
        <w:r>
          <w:rPr>
            <w:noProof/>
            <w:webHidden/>
          </w:rPr>
          <w:tab/>
        </w:r>
        <w:r>
          <w:rPr>
            <w:noProof/>
            <w:webHidden/>
          </w:rPr>
          <w:fldChar w:fldCharType="begin"/>
        </w:r>
        <w:r>
          <w:rPr>
            <w:noProof/>
            <w:webHidden/>
          </w:rPr>
          <w:instrText xml:space="preserve"> PAGEREF _Toc57811262 \h </w:instrText>
        </w:r>
        <w:r>
          <w:rPr>
            <w:noProof/>
            <w:webHidden/>
          </w:rPr>
        </w:r>
        <w:r>
          <w:rPr>
            <w:noProof/>
            <w:webHidden/>
          </w:rPr>
          <w:fldChar w:fldCharType="separate"/>
        </w:r>
        <w:r w:rsidR="00D35914">
          <w:rPr>
            <w:noProof/>
            <w:webHidden/>
          </w:rPr>
          <w:t>21</w:t>
        </w:r>
        <w:r>
          <w:rPr>
            <w:noProof/>
            <w:webHidden/>
          </w:rPr>
          <w:fldChar w:fldCharType="end"/>
        </w:r>
      </w:hyperlink>
    </w:p>
    <w:p w14:paraId="361A5DE1" w14:textId="7E224475"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63" w:history="1">
        <w:r w:rsidRPr="001D6007">
          <w:rPr>
            <w:rStyle w:val="Hyperlink"/>
            <w:rFonts w:eastAsia="OpenSymbol"/>
            <w:noProof/>
            <w:lang w:val="en" w:bidi="hi-IN"/>
          </w:rPr>
          <w:t>Navegación: con o sin conexión, siempre por buen camino</w:t>
        </w:r>
        <w:r>
          <w:rPr>
            <w:noProof/>
            <w:webHidden/>
          </w:rPr>
          <w:tab/>
        </w:r>
        <w:r>
          <w:rPr>
            <w:noProof/>
            <w:webHidden/>
          </w:rPr>
          <w:fldChar w:fldCharType="begin"/>
        </w:r>
        <w:r>
          <w:rPr>
            <w:noProof/>
            <w:webHidden/>
          </w:rPr>
          <w:instrText xml:space="preserve"> PAGEREF _Toc57811263 \h </w:instrText>
        </w:r>
        <w:r>
          <w:rPr>
            <w:noProof/>
            <w:webHidden/>
          </w:rPr>
        </w:r>
        <w:r>
          <w:rPr>
            <w:noProof/>
            <w:webHidden/>
          </w:rPr>
          <w:fldChar w:fldCharType="separate"/>
        </w:r>
        <w:r w:rsidR="00D35914">
          <w:rPr>
            <w:noProof/>
            <w:webHidden/>
          </w:rPr>
          <w:t>21</w:t>
        </w:r>
        <w:r>
          <w:rPr>
            <w:noProof/>
            <w:webHidden/>
          </w:rPr>
          <w:fldChar w:fldCharType="end"/>
        </w:r>
      </w:hyperlink>
    </w:p>
    <w:p w14:paraId="2C904AFE" w14:textId="0CC1B1FE"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64" w:history="1">
        <w:r w:rsidRPr="001D6007">
          <w:rPr>
            <w:rStyle w:val="Hyperlink"/>
            <w:rFonts w:eastAsia="OpenSymbol"/>
            <w:noProof/>
            <w:lang w:val="en" w:bidi="hi-IN"/>
          </w:rPr>
          <w:t>Aplicación Car Connect</w:t>
        </w:r>
        <w:r>
          <w:rPr>
            <w:noProof/>
            <w:webHidden/>
          </w:rPr>
          <w:tab/>
        </w:r>
        <w:r>
          <w:rPr>
            <w:noProof/>
            <w:webHidden/>
          </w:rPr>
          <w:fldChar w:fldCharType="begin"/>
        </w:r>
        <w:r>
          <w:rPr>
            <w:noProof/>
            <w:webHidden/>
          </w:rPr>
          <w:instrText xml:space="preserve"> PAGEREF _Toc57811264 \h </w:instrText>
        </w:r>
        <w:r>
          <w:rPr>
            <w:noProof/>
            <w:webHidden/>
          </w:rPr>
        </w:r>
        <w:r>
          <w:rPr>
            <w:noProof/>
            <w:webHidden/>
          </w:rPr>
          <w:fldChar w:fldCharType="separate"/>
        </w:r>
        <w:r w:rsidR="00D35914">
          <w:rPr>
            <w:noProof/>
            <w:webHidden/>
          </w:rPr>
          <w:t>23</w:t>
        </w:r>
        <w:r>
          <w:rPr>
            <w:noProof/>
            <w:webHidden/>
          </w:rPr>
          <w:fldChar w:fldCharType="end"/>
        </w:r>
      </w:hyperlink>
    </w:p>
    <w:p w14:paraId="3699CC57" w14:textId="18B202E6" w:rsidR="00623D1A" w:rsidRDefault="00623D1A">
      <w:pPr>
        <w:pStyle w:val="Verzeichnis1"/>
        <w:rPr>
          <w:rFonts w:asciiTheme="minorHAnsi" w:eastAsiaTheme="minorEastAsia" w:hAnsiTheme="minorHAnsi" w:cstheme="minorBidi"/>
          <w:b w:val="0"/>
          <w:noProof/>
          <w:color w:val="auto"/>
          <w:kern w:val="0"/>
          <w:szCs w:val="24"/>
        </w:rPr>
      </w:pPr>
      <w:hyperlink w:anchor="_Toc57811265" w:history="1">
        <w:r w:rsidRPr="001D6007">
          <w:rPr>
            <w:rStyle w:val="Hyperlink"/>
            <w:rFonts w:eastAsia="OpenSymbol"/>
            <w:noProof/>
            <w:lang w:val="en" w:bidi="hi-IN"/>
          </w:rPr>
          <w:t>Electrocombustibles: gasolina a partir del aire, el agua y la electricidad verde</w:t>
        </w:r>
        <w:r>
          <w:rPr>
            <w:noProof/>
            <w:webHidden/>
          </w:rPr>
          <w:tab/>
        </w:r>
        <w:r>
          <w:rPr>
            <w:noProof/>
            <w:webHidden/>
          </w:rPr>
          <w:fldChar w:fldCharType="begin"/>
        </w:r>
        <w:r>
          <w:rPr>
            <w:noProof/>
            <w:webHidden/>
          </w:rPr>
          <w:instrText xml:space="preserve"> PAGEREF _Toc57811265 \h </w:instrText>
        </w:r>
        <w:r>
          <w:rPr>
            <w:noProof/>
            <w:webHidden/>
          </w:rPr>
        </w:r>
        <w:r>
          <w:rPr>
            <w:noProof/>
            <w:webHidden/>
          </w:rPr>
          <w:fldChar w:fldCharType="separate"/>
        </w:r>
        <w:r w:rsidR="00D35914">
          <w:rPr>
            <w:noProof/>
            <w:webHidden/>
          </w:rPr>
          <w:t>24</w:t>
        </w:r>
        <w:r>
          <w:rPr>
            <w:noProof/>
            <w:webHidden/>
          </w:rPr>
          <w:fldChar w:fldCharType="end"/>
        </w:r>
      </w:hyperlink>
    </w:p>
    <w:p w14:paraId="4540E5D2" w14:textId="4A236651"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66" w:history="1">
        <w:r w:rsidRPr="001D6007">
          <w:rPr>
            <w:rStyle w:val="Hyperlink"/>
            <w:rFonts w:eastAsia="OpenSymbol"/>
            <w:noProof/>
            <w:lang w:val="en" w:bidi="hi-IN"/>
          </w:rPr>
          <w:t>Porsche investiga intensivamente el combustible del futuro</w:t>
        </w:r>
        <w:r>
          <w:rPr>
            <w:noProof/>
            <w:webHidden/>
          </w:rPr>
          <w:tab/>
        </w:r>
        <w:r>
          <w:rPr>
            <w:noProof/>
            <w:webHidden/>
          </w:rPr>
          <w:fldChar w:fldCharType="begin"/>
        </w:r>
        <w:r>
          <w:rPr>
            <w:noProof/>
            <w:webHidden/>
          </w:rPr>
          <w:instrText xml:space="preserve"> PAGEREF _Toc57811266 \h </w:instrText>
        </w:r>
        <w:r>
          <w:rPr>
            <w:noProof/>
            <w:webHidden/>
          </w:rPr>
        </w:r>
        <w:r>
          <w:rPr>
            <w:noProof/>
            <w:webHidden/>
          </w:rPr>
          <w:fldChar w:fldCharType="separate"/>
        </w:r>
        <w:r w:rsidR="00D35914">
          <w:rPr>
            <w:noProof/>
            <w:webHidden/>
          </w:rPr>
          <w:t>24</w:t>
        </w:r>
        <w:r>
          <w:rPr>
            <w:noProof/>
            <w:webHidden/>
          </w:rPr>
          <w:fldChar w:fldCharType="end"/>
        </w:r>
      </w:hyperlink>
    </w:p>
    <w:p w14:paraId="65BD7650" w14:textId="1C9DFB12" w:rsidR="00623D1A" w:rsidRDefault="00623D1A">
      <w:pPr>
        <w:pStyle w:val="Verzeichnis1"/>
        <w:rPr>
          <w:rFonts w:asciiTheme="minorHAnsi" w:eastAsiaTheme="minorEastAsia" w:hAnsiTheme="minorHAnsi" w:cstheme="minorBidi"/>
          <w:b w:val="0"/>
          <w:noProof/>
          <w:color w:val="auto"/>
          <w:kern w:val="0"/>
          <w:szCs w:val="24"/>
        </w:rPr>
      </w:pPr>
      <w:hyperlink w:anchor="_Toc57811267" w:history="1">
        <w:r w:rsidRPr="001D6007">
          <w:rPr>
            <w:rStyle w:val="Hyperlink"/>
            <w:rFonts w:eastAsia="OpenSymbol"/>
            <w:noProof/>
            <w:lang w:val="en" w:bidi="hi-IN"/>
          </w:rPr>
          <w:t>Porsche Destination Charging</w:t>
        </w:r>
        <w:r>
          <w:rPr>
            <w:noProof/>
            <w:webHidden/>
          </w:rPr>
          <w:tab/>
        </w:r>
        <w:r>
          <w:rPr>
            <w:noProof/>
            <w:webHidden/>
          </w:rPr>
          <w:fldChar w:fldCharType="begin"/>
        </w:r>
        <w:r>
          <w:rPr>
            <w:noProof/>
            <w:webHidden/>
          </w:rPr>
          <w:instrText xml:space="preserve"> PAGEREF _Toc57811267 \h </w:instrText>
        </w:r>
        <w:r>
          <w:rPr>
            <w:noProof/>
            <w:webHidden/>
          </w:rPr>
        </w:r>
        <w:r>
          <w:rPr>
            <w:noProof/>
            <w:webHidden/>
          </w:rPr>
          <w:fldChar w:fldCharType="separate"/>
        </w:r>
        <w:r w:rsidR="00D35914">
          <w:rPr>
            <w:noProof/>
            <w:webHidden/>
          </w:rPr>
          <w:t>27</w:t>
        </w:r>
        <w:r>
          <w:rPr>
            <w:noProof/>
            <w:webHidden/>
          </w:rPr>
          <w:fldChar w:fldCharType="end"/>
        </w:r>
      </w:hyperlink>
    </w:p>
    <w:p w14:paraId="3070D0C7" w14:textId="1C051F61"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68" w:history="1">
        <w:r w:rsidRPr="001D6007">
          <w:rPr>
            <w:rStyle w:val="Hyperlink"/>
            <w:rFonts w:eastAsia="OpenSymbol"/>
            <w:noProof/>
            <w:lang w:val="en" w:bidi="hi-IN"/>
          </w:rPr>
          <w:t>Porsche acelera la ampliación de la infraestructura de carga</w:t>
        </w:r>
        <w:r>
          <w:rPr>
            <w:noProof/>
            <w:webHidden/>
          </w:rPr>
          <w:tab/>
        </w:r>
        <w:r>
          <w:rPr>
            <w:noProof/>
            <w:webHidden/>
          </w:rPr>
          <w:fldChar w:fldCharType="begin"/>
        </w:r>
        <w:r>
          <w:rPr>
            <w:noProof/>
            <w:webHidden/>
          </w:rPr>
          <w:instrText xml:space="preserve"> PAGEREF _Toc57811268 \h </w:instrText>
        </w:r>
        <w:r>
          <w:rPr>
            <w:noProof/>
            <w:webHidden/>
          </w:rPr>
        </w:r>
        <w:r>
          <w:rPr>
            <w:noProof/>
            <w:webHidden/>
          </w:rPr>
          <w:fldChar w:fldCharType="separate"/>
        </w:r>
        <w:r w:rsidR="00D35914">
          <w:rPr>
            <w:noProof/>
            <w:webHidden/>
          </w:rPr>
          <w:t>27</w:t>
        </w:r>
        <w:r>
          <w:rPr>
            <w:noProof/>
            <w:webHidden/>
          </w:rPr>
          <w:fldChar w:fldCharType="end"/>
        </w:r>
      </w:hyperlink>
    </w:p>
    <w:p w14:paraId="7306237A" w14:textId="6C94AAD5" w:rsidR="00623D1A" w:rsidRDefault="00623D1A">
      <w:pPr>
        <w:pStyle w:val="Verzeichnis1"/>
        <w:rPr>
          <w:rFonts w:asciiTheme="minorHAnsi" w:eastAsiaTheme="minorEastAsia" w:hAnsiTheme="minorHAnsi" w:cstheme="minorBidi"/>
          <w:b w:val="0"/>
          <w:noProof/>
          <w:color w:val="auto"/>
          <w:kern w:val="0"/>
          <w:szCs w:val="24"/>
        </w:rPr>
      </w:pPr>
      <w:hyperlink w:anchor="_Toc57811269" w:history="1">
        <w:r w:rsidRPr="001D6007">
          <w:rPr>
            <w:rStyle w:val="Hyperlink"/>
            <w:rFonts w:eastAsia="OpenSymbol"/>
            <w:noProof/>
            <w:lang w:val="en" w:bidi="hi-IN"/>
          </w:rPr>
          <w:t>Glosario</w:t>
        </w:r>
        <w:r>
          <w:rPr>
            <w:noProof/>
            <w:webHidden/>
          </w:rPr>
          <w:tab/>
        </w:r>
        <w:r>
          <w:rPr>
            <w:noProof/>
            <w:webHidden/>
          </w:rPr>
          <w:fldChar w:fldCharType="begin"/>
        </w:r>
        <w:r>
          <w:rPr>
            <w:noProof/>
            <w:webHidden/>
          </w:rPr>
          <w:instrText xml:space="preserve"> PAGEREF _Toc57811269 \h </w:instrText>
        </w:r>
        <w:r>
          <w:rPr>
            <w:noProof/>
            <w:webHidden/>
          </w:rPr>
        </w:r>
        <w:r>
          <w:rPr>
            <w:noProof/>
            <w:webHidden/>
          </w:rPr>
          <w:fldChar w:fldCharType="separate"/>
        </w:r>
        <w:r w:rsidR="00D35914">
          <w:rPr>
            <w:noProof/>
            <w:webHidden/>
          </w:rPr>
          <w:t>30</w:t>
        </w:r>
        <w:r>
          <w:rPr>
            <w:noProof/>
            <w:webHidden/>
          </w:rPr>
          <w:fldChar w:fldCharType="end"/>
        </w:r>
      </w:hyperlink>
    </w:p>
    <w:p w14:paraId="4D8C0092" w14:textId="7CD44768" w:rsidR="00623D1A" w:rsidRDefault="00623D1A">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270" w:history="1">
        <w:r w:rsidRPr="001D6007">
          <w:rPr>
            <w:rStyle w:val="Hyperlink"/>
            <w:rFonts w:eastAsia="OpenSymbol"/>
            <w:noProof/>
            <w:lang w:val="en" w:bidi="hi-IN"/>
          </w:rPr>
          <w:t>Los principales términos técnicos relacionados con la carga</w:t>
        </w:r>
        <w:r>
          <w:rPr>
            <w:noProof/>
            <w:webHidden/>
          </w:rPr>
          <w:tab/>
        </w:r>
        <w:r>
          <w:rPr>
            <w:noProof/>
            <w:webHidden/>
          </w:rPr>
          <w:fldChar w:fldCharType="begin"/>
        </w:r>
        <w:r>
          <w:rPr>
            <w:noProof/>
            <w:webHidden/>
          </w:rPr>
          <w:instrText xml:space="preserve"> PAGEREF _Toc57811270 \h </w:instrText>
        </w:r>
        <w:r>
          <w:rPr>
            <w:noProof/>
            <w:webHidden/>
          </w:rPr>
        </w:r>
        <w:r>
          <w:rPr>
            <w:noProof/>
            <w:webHidden/>
          </w:rPr>
          <w:fldChar w:fldCharType="separate"/>
        </w:r>
        <w:r w:rsidR="00D35914">
          <w:rPr>
            <w:noProof/>
            <w:webHidden/>
          </w:rPr>
          <w:t>30</w:t>
        </w:r>
        <w:r>
          <w:rPr>
            <w:noProof/>
            <w:webHidden/>
          </w:rPr>
          <w:fldChar w:fldCharType="end"/>
        </w:r>
      </w:hyperlink>
    </w:p>
    <w:p w14:paraId="2ED839F3" w14:textId="0EFEC79F" w:rsidR="00C46FC8" w:rsidRPr="001C7390" w:rsidRDefault="00BF66F3" w:rsidP="001C7390">
      <w:pPr>
        <w:pStyle w:val="PAGHeadline-1-Chapter"/>
      </w:pPr>
      <w:r>
        <w:lastRenderedPageBreak/>
        <w:fldChar w:fldCharType="end"/>
      </w:r>
      <w:bookmarkStart w:id="5" w:name="_Toc57811237"/>
      <w:r>
        <w:rPr>
          <w:lang w:val="en"/>
        </w:rPr>
        <w:t>Consumo de combustible y emisiones</w:t>
      </w:r>
      <w:bookmarkEnd w:id="5"/>
    </w:p>
    <w:p w14:paraId="463CCEFA" w14:textId="53B04039" w:rsidR="00AA782C" w:rsidRPr="00B9564B" w:rsidRDefault="00AA782C" w:rsidP="00AA782C">
      <w:pPr>
        <w:pStyle w:val="PAGParagraphNormal"/>
        <w:jc w:val="left"/>
        <w:rPr>
          <w:lang w:val="en-US"/>
        </w:rPr>
      </w:pPr>
      <w:r>
        <w:rPr>
          <w:b/>
          <w:bCs/>
          <w:lang w:val="en"/>
        </w:rPr>
        <w:t>Modelos Panamera Turbo S E-Hybrid:</w:t>
      </w:r>
      <w:r>
        <w:rPr>
          <w:lang w:val="en"/>
        </w:rPr>
        <w:t xml:space="preserve"> Consumo de combustible combinado 2,8 – 2,7 l/100 km, consumo de corriente combinado 22,8 – 21,8 kWh/100 km, emisiones de CO</w:t>
      </w:r>
      <w:r>
        <w:rPr>
          <w:vertAlign w:val="subscript"/>
          <w:lang w:val="en"/>
        </w:rPr>
        <w:t>2</w:t>
      </w:r>
      <w:r>
        <w:rPr>
          <w:lang w:val="en"/>
        </w:rPr>
        <w:t xml:space="preserve"> combinadas 63 – 62 g/km</w:t>
      </w:r>
    </w:p>
    <w:p w14:paraId="25DD3725" w14:textId="2FE33D80" w:rsidR="00AA782C" w:rsidRPr="00B9564B" w:rsidRDefault="00AA782C" w:rsidP="00AA782C">
      <w:pPr>
        <w:pStyle w:val="PAGParagraphNormal"/>
        <w:jc w:val="left"/>
        <w:rPr>
          <w:lang w:val="en-US"/>
        </w:rPr>
      </w:pPr>
      <w:r>
        <w:rPr>
          <w:b/>
          <w:bCs/>
          <w:lang w:val="en"/>
        </w:rPr>
        <w:t>Modelos Panamera 4S E-Hybrid:</w:t>
      </w:r>
      <w:r>
        <w:rPr>
          <w:lang w:val="en"/>
        </w:rPr>
        <w:t xml:space="preserve"> Consumo de combustible combinado 2,3 – 2,0 l/100 km, consumo de corriente combinado 19,5 – 17,4 kWh/100 km, emisiones de CO</w:t>
      </w:r>
      <w:r>
        <w:rPr>
          <w:vertAlign w:val="subscript"/>
          <w:lang w:val="en"/>
        </w:rPr>
        <w:t>2</w:t>
      </w:r>
      <w:r>
        <w:rPr>
          <w:lang w:val="en"/>
        </w:rPr>
        <w:t xml:space="preserve"> combinadas 53 – 47 g/km</w:t>
      </w:r>
    </w:p>
    <w:p w14:paraId="3299569E" w14:textId="2D159DC3" w:rsidR="00AA782C" w:rsidRPr="00B9564B" w:rsidRDefault="00AA782C" w:rsidP="00AA782C">
      <w:pPr>
        <w:pStyle w:val="PAGParagraphNormal"/>
        <w:jc w:val="left"/>
        <w:rPr>
          <w:lang w:val="en-US"/>
        </w:rPr>
      </w:pPr>
      <w:r>
        <w:rPr>
          <w:b/>
          <w:bCs/>
          <w:lang w:val="en"/>
        </w:rPr>
        <w:t>Modelos Panamera 4 E-Hybrid:</w:t>
      </w:r>
      <w:r>
        <w:rPr>
          <w:lang w:val="en"/>
        </w:rPr>
        <w:t xml:space="preserve"> Consumo de combustible combinado 2,3 – 2,1 l/100 km, consumo de corriente combinado 18,2 – 17,0 kWh/100 km, emisiones de CO</w:t>
      </w:r>
      <w:r>
        <w:rPr>
          <w:vertAlign w:val="subscript"/>
          <w:lang w:val="en"/>
        </w:rPr>
        <w:t>2</w:t>
      </w:r>
      <w:r>
        <w:rPr>
          <w:lang w:val="en"/>
        </w:rPr>
        <w:t xml:space="preserve"> combinadas 51 – 47 g/km</w:t>
      </w:r>
    </w:p>
    <w:p w14:paraId="7892F182" w14:textId="77777777" w:rsidR="00AA782C" w:rsidRPr="00B9564B" w:rsidRDefault="00AA782C" w:rsidP="00AA782C">
      <w:pPr>
        <w:pStyle w:val="PAGParagraphNormal"/>
        <w:jc w:val="left"/>
        <w:rPr>
          <w:lang w:val="en-US"/>
        </w:rPr>
      </w:pPr>
      <w:r>
        <w:rPr>
          <w:b/>
          <w:bCs/>
          <w:lang w:val="en"/>
        </w:rPr>
        <w:t>Panamera Turbo S E-Hybrid:</w:t>
      </w:r>
      <w:r>
        <w:rPr>
          <w:lang w:val="en"/>
        </w:rPr>
        <w:t xml:space="preserve"> Consumo de combustible combinado 2,7 l/100 km, consumo de corriente combinado 21,8 kWh/100 km, emisiones de CO</w:t>
      </w:r>
      <w:r>
        <w:rPr>
          <w:vertAlign w:val="subscript"/>
          <w:lang w:val="en"/>
        </w:rPr>
        <w:t>2</w:t>
      </w:r>
      <w:r>
        <w:rPr>
          <w:lang w:val="en"/>
        </w:rPr>
        <w:t xml:space="preserve"> combinadas 62 g/km</w:t>
      </w:r>
    </w:p>
    <w:p w14:paraId="3847F2DA" w14:textId="77777777" w:rsidR="00AA782C" w:rsidRPr="00B9564B" w:rsidRDefault="00AA782C" w:rsidP="00AA782C">
      <w:pPr>
        <w:pStyle w:val="PAGParagraphNormal"/>
        <w:jc w:val="left"/>
        <w:rPr>
          <w:lang w:val="en-US"/>
        </w:rPr>
      </w:pPr>
      <w:r>
        <w:rPr>
          <w:b/>
          <w:bCs/>
          <w:lang w:val="en"/>
        </w:rPr>
        <w:t>Panamera Turbo S E-Hybrid Executive:</w:t>
      </w:r>
      <w:r>
        <w:rPr>
          <w:lang w:val="en"/>
        </w:rPr>
        <w:t xml:space="preserve"> Consumo de combustible combinado 2,8 l/100 km, consumo de corriente combinado 22,7 kWh/100 km, emisiones de CO</w:t>
      </w:r>
      <w:r>
        <w:rPr>
          <w:vertAlign w:val="subscript"/>
          <w:lang w:val="en"/>
        </w:rPr>
        <w:t>2</w:t>
      </w:r>
      <w:r>
        <w:rPr>
          <w:lang w:val="en"/>
        </w:rPr>
        <w:t xml:space="preserve"> combinadas 63 g/km</w:t>
      </w:r>
    </w:p>
    <w:p w14:paraId="3B3C5AF4" w14:textId="77777777" w:rsidR="00AA782C" w:rsidRPr="00B9564B" w:rsidRDefault="00AA782C" w:rsidP="00AA782C">
      <w:pPr>
        <w:pStyle w:val="PAGParagraphNormal"/>
        <w:jc w:val="left"/>
        <w:rPr>
          <w:lang w:val="en-US"/>
        </w:rPr>
      </w:pPr>
      <w:r>
        <w:rPr>
          <w:b/>
          <w:bCs/>
          <w:lang w:val="en"/>
        </w:rPr>
        <w:t>Panamera Turbo S E-Hybrid Sport Turismo:</w:t>
      </w:r>
      <w:r>
        <w:rPr>
          <w:lang w:val="en"/>
        </w:rPr>
        <w:t xml:space="preserve"> Consumo de combustible combinado 2,8 l/100 km, consumo de corriente combinado 22,8 kWh/100 km, emisiones de CO</w:t>
      </w:r>
      <w:r>
        <w:rPr>
          <w:vertAlign w:val="subscript"/>
          <w:lang w:val="en"/>
        </w:rPr>
        <w:t>2</w:t>
      </w:r>
      <w:r>
        <w:rPr>
          <w:lang w:val="en"/>
        </w:rPr>
        <w:t xml:space="preserve"> combinadas 63 g/km</w:t>
      </w:r>
    </w:p>
    <w:p w14:paraId="157A209B" w14:textId="5B448EAE" w:rsidR="00AA782C" w:rsidRPr="00B9564B" w:rsidRDefault="00AA782C" w:rsidP="00AA782C">
      <w:pPr>
        <w:pStyle w:val="PAGParagraphNormal"/>
        <w:jc w:val="left"/>
        <w:rPr>
          <w:lang w:val="en-US"/>
        </w:rPr>
      </w:pPr>
      <w:r>
        <w:rPr>
          <w:b/>
          <w:bCs/>
          <w:lang w:val="en"/>
        </w:rPr>
        <w:t>Panamera 4S E-Hybrid:</w:t>
      </w:r>
      <w:r>
        <w:rPr>
          <w:lang w:val="en"/>
        </w:rPr>
        <w:t xml:space="preserve"> Consumo de combustible combinado 2,2 – 2,0 l/100 km, consumo de corriente combinado 18,1 – 17,4 kWh/100 km, emisiones de CO</w:t>
      </w:r>
      <w:r>
        <w:rPr>
          <w:vertAlign w:val="subscript"/>
          <w:lang w:val="en"/>
        </w:rPr>
        <w:t>2</w:t>
      </w:r>
      <w:r>
        <w:rPr>
          <w:lang w:val="en"/>
        </w:rPr>
        <w:t xml:space="preserve"> combinadas 51 – 47 g/km</w:t>
      </w:r>
    </w:p>
    <w:p w14:paraId="0941853F" w14:textId="4120C0E9" w:rsidR="00AA782C" w:rsidRPr="00B9564B" w:rsidRDefault="00AA782C" w:rsidP="00AA782C">
      <w:pPr>
        <w:pStyle w:val="PAGParagraphNormal"/>
        <w:jc w:val="left"/>
        <w:rPr>
          <w:lang w:val="en-US"/>
        </w:rPr>
      </w:pPr>
      <w:r>
        <w:rPr>
          <w:b/>
          <w:bCs/>
          <w:lang w:val="en"/>
        </w:rPr>
        <w:t>Panamera 4S E-Hybrid Executive:</w:t>
      </w:r>
      <w:r>
        <w:rPr>
          <w:lang w:val="en"/>
        </w:rPr>
        <w:t xml:space="preserve"> Consumo de combustible combinado 2,3 – 2,2 l/100 km, consumo de corriente combinado 19,5 – 17,6 kWh/100 km, emisiones de CO</w:t>
      </w:r>
      <w:r>
        <w:rPr>
          <w:vertAlign w:val="subscript"/>
          <w:lang w:val="en"/>
        </w:rPr>
        <w:t>2</w:t>
      </w:r>
      <w:r>
        <w:rPr>
          <w:lang w:val="en"/>
        </w:rPr>
        <w:t xml:space="preserve"> combinadas 53 – 50 g/km</w:t>
      </w:r>
    </w:p>
    <w:p w14:paraId="31A17870" w14:textId="296E6EA3" w:rsidR="00AA782C" w:rsidRPr="00B9564B" w:rsidRDefault="00AA782C" w:rsidP="00AA782C">
      <w:pPr>
        <w:pStyle w:val="PAGParagraphNormal"/>
        <w:jc w:val="left"/>
        <w:rPr>
          <w:lang w:val="en-US"/>
        </w:rPr>
      </w:pPr>
      <w:r>
        <w:rPr>
          <w:b/>
          <w:bCs/>
          <w:lang w:val="en"/>
        </w:rPr>
        <w:lastRenderedPageBreak/>
        <w:t>Panamera 4S E-Hybrid Sport Turismo:</w:t>
      </w:r>
      <w:r>
        <w:rPr>
          <w:lang w:val="en"/>
        </w:rPr>
        <w:t xml:space="preserve"> Consumo de combustible combinado 2,2 – 2,1 l/100 km, consumo de corriente combinado 19,3 – 17,4 kWh/100 km, emisiones de CO</w:t>
      </w:r>
      <w:r>
        <w:rPr>
          <w:vertAlign w:val="subscript"/>
          <w:lang w:val="en"/>
        </w:rPr>
        <w:t>2</w:t>
      </w:r>
      <w:r>
        <w:rPr>
          <w:lang w:val="en"/>
        </w:rPr>
        <w:t xml:space="preserve"> combinadas 52 – 49 g/km</w:t>
      </w:r>
    </w:p>
    <w:p w14:paraId="1A961D28" w14:textId="7FD3B706" w:rsidR="00AA782C" w:rsidRPr="00B9564B" w:rsidRDefault="00AA782C" w:rsidP="00AA782C">
      <w:pPr>
        <w:pStyle w:val="PAGParagraphNormal"/>
        <w:jc w:val="left"/>
        <w:rPr>
          <w:lang w:val="en-US"/>
        </w:rPr>
      </w:pPr>
      <w:r>
        <w:rPr>
          <w:b/>
          <w:bCs/>
          <w:lang w:val="en"/>
        </w:rPr>
        <w:t>Panamera 4 E-Hybrid:</w:t>
      </w:r>
      <w:r>
        <w:rPr>
          <w:lang w:val="en"/>
        </w:rPr>
        <w:t xml:space="preserve"> Consumo de combustible combinado 2,2 – 2,1 l/100 km, consumo de corriente combinado 17,5 – 17,0 kWh/100 km, emisiones de CO</w:t>
      </w:r>
      <w:r>
        <w:rPr>
          <w:vertAlign w:val="subscript"/>
          <w:lang w:val="en"/>
        </w:rPr>
        <w:t>2</w:t>
      </w:r>
      <w:r>
        <w:rPr>
          <w:lang w:val="en"/>
        </w:rPr>
        <w:t xml:space="preserve"> combinadas 49 – 47 g/km</w:t>
      </w:r>
    </w:p>
    <w:p w14:paraId="0BE9516A" w14:textId="221149C4" w:rsidR="00AA782C" w:rsidRPr="00B9564B" w:rsidRDefault="00AA782C" w:rsidP="00AA782C">
      <w:pPr>
        <w:pStyle w:val="PAGParagraphNormal"/>
        <w:jc w:val="left"/>
        <w:rPr>
          <w:lang w:val="en-US"/>
        </w:rPr>
      </w:pPr>
      <w:r>
        <w:rPr>
          <w:b/>
          <w:bCs/>
          <w:lang w:val="en"/>
        </w:rPr>
        <w:t>Panamera 4 E-Hybrid Executive:</w:t>
      </w:r>
      <w:r>
        <w:rPr>
          <w:lang w:val="en"/>
        </w:rPr>
        <w:t xml:space="preserve"> Consumo de combustible combinado 2,2 l/100 km, consumo de corriente combinado 18,0 – 17,4 kWh/100 km, emisiones de CO</w:t>
      </w:r>
      <w:r>
        <w:rPr>
          <w:vertAlign w:val="subscript"/>
          <w:lang w:val="en"/>
        </w:rPr>
        <w:t>2</w:t>
      </w:r>
      <w:r>
        <w:rPr>
          <w:lang w:val="en"/>
        </w:rPr>
        <w:t xml:space="preserve"> combinadas 51 – 49 g/km</w:t>
      </w:r>
    </w:p>
    <w:p w14:paraId="10E506BC" w14:textId="69C21C03" w:rsidR="00AA782C" w:rsidRPr="00B9564B" w:rsidRDefault="00AA782C" w:rsidP="00AA782C">
      <w:pPr>
        <w:pStyle w:val="PAGParagraphNormal"/>
        <w:jc w:val="left"/>
        <w:rPr>
          <w:lang w:val="en-US"/>
        </w:rPr>
      </w:pPr>
      <w:r>
        <w:rPr>
          <w:b/>
          <w:bCs/>
          <w:lang w:val="en"/>
        </w:rPr>
        <w:t>Panamera 4 E-Hybrid Sport Turismo:</w:t>
      </w:r>
      <w:r>
        <w:rPr>
          <w:lang w:val="en"/>
        </w:rPr>
        <w:t xml:space="preserve"> Consumo de combustible combinado 2,3 – 2,2 l/100 km, consumo de corriente combinado 18,2 – 17,5 kWh/100 km, emisiones de CO</w:t>
      </w:r>
      <w:r>
        <w:rPr>
          <w:vertAlign w:val="subscript"/>
          <w:lang w:val="en"/>
        </w:rPr>
        <w:t>2</w:t>
      </w:r>
      <w:r>
        <w:rPr>
          <w:lang w:val="en"/>
        </w:rPr>
        <w:t xml:space="preserve"> combinadas 51 – 49 g/km</w:t>
      </w:r>
    </w:p>
    <w:p w14:paraId="354FD142" w14:textId="73F55744" w:rsidR="00C46FC8" w:rsidRPr="00C332E0" w:rsidRDefault="00C46FC8" w:rsidP="00C46FC8">
      <w:pPr>
        <w:pStyle w:val="PAGParagraphNormal"/>
      </w:pPr>
      <w:r w:rsidRPr="00B9564B">
        <w:t>Todos los datos se refieren al modelo europeo.</w:t>
      </w:r>
    </w:p>
    <w:p w14:paraId="521B9217" w14:textId="2E305339" w:rsidR="00EC57D6" w:rsidRPr="00B9564B" w:rsidRDefault="00C46FC8" w:rsidP="00C46FC8">
      <w:pPr>
        <w:pStyle w:val="PAGParagraphNormal"/>
        <w:rPr>
          <w:lang w:val="en-US"/>
        </w:rPr>
      </w:pPr>
      <w:r>
        <w:rPr>
          <w:lang w:val="en"/>
        </w:rPr>
        <w:t>Los valores de consumo y de emisiones de CO</w:t>
      </w:r>
      <w:r>
        <w:rPr>
          <w:vertAlign w:val="subscript"/>
          <w:lang w:val="en"/>
        </w:rPr>
        <w:t>2</w:t>
      </w:r>
      <w:r>
        <w:rPr>
          <w:lang w:val="en"/>
        </w:rPr>
        <w:t xml:space="preserve"> se han calculado según el nuevo procedimiento de medición WLTP. Por ahora se deben seguir indicando los valores NEDC derivados de ellos. Estos valores no son comparables con los determinados por el procedimiento de medición NEDC utilizado hasta ahora. Puede encontrar más información sobre el consumo de combustible oficial y las emisiones de CO</w:t>
      </w:r>
      <w:r>
        <w:rPr>
          <w:vertAlign w:val="subscript"/>
          <w:lang w:val="en"/>
        </w:rPr>
        <w:t>2</w:t>
      </w:r>
      <w:r>
        <w:rPr>
          <w:lang w:val="en"/>
        </w:rPr>
        <w:t xml:space="preserve"> específicas oficiales de nuevos automóviles en la «Guía sobre el consumo de combustible, las emisiones de CO</w:t>
      </w:r>
      <w:r>
        <w:rPr>
          <w:vertAlign w:val="subscript"/>
          <w:lang w:val="en"/>
        </w:rPr>
        <w:t>2</w:t>
      </w:r>
      <w:r>
        <w:rPr>
          <w:lang w:val="en"/>
        </w:rPr>
        <w:t xml:space="preserve"> y el consumo de corriente de nuevos automóviles» que se puede obtener gratuitamente en todos los puntos de venta y en DAT.</w:t>
      </w:r>
    </w:p>
    <w:p w14:paraId="1758108A" w14:textId="77777777" w:rsidR="00EC57D6" w:rsidRPr="00B9564B" w:rsidRDefault="00EC57D6">
      <w:pPr>
        <w:suppressAutoHyphens w:val="0"/>
        <w:rPr>
          <w:rFonts w:ascii="Arial" w:hAnsi="Arial" w:cs="Arial"/>
          <w:lang w:val="en-US"/>
        </w:rPr>
      </w:pPr>
      <w:r>
        <w:rPr>
          <w:lang w:val="en"/>
        </w:rPr>
        <w:br w:type="page"/>
      </w:r>
    </w:p>
    <w:p w14:paraId="71DED1E5" w14:textId="25CAC418" w:rsidR="00570BC6" w:rsidRPr="007169C4" w:rsidRDefault="000B2C1A" w:rsidP="00EC57D6">
      <w:pPr>
        <w:pStyle w:val="PAGColumn-Title"/>
      </w:pPr>
      <w:bookmarkStart w:id="6" w:name="_Toc57811238"/>
      <w:r>
        <w:rPr>
          <w:bCs w:val="0"/>
          <w:lang w:val="en"/>
        </w:rPr>
        <w:lastRenderedPageBreak/>
        <w:t>Aspectos destacados</w:t>
      </w:r>
      <w:bookmarkEnd w:id="6"/>
    </w:p>
    <w:p w14:paraId="0C272200" w14:textId="1187F037" w:rsidR="00570BC6" w:rsidRPr="00EC603A" w:rsidRDefault="005E362E" w:rsidP="005E362E">
      <w:pPr>
        <w:pStyle w:val="PAGHeadline-1-Chapter"/>
        <w:rPr>
          <w:szCs w:val="32"/>
        </w:rPr>
      </w:pPr>
      <w:bookmarkStart w:id="7" w:name="_Toc57811239"/>
      <w:r>
        <w:rPr>
          <w:szCs w:val="32"/>
          <w:lang w:val="en"/>
        </w:rPr>
        <w:t>Los tres nuevos Panamera híbridos enchufables apuntalan la estrategia de propulsión de Porsche</w:t>
      </w:r>
      <w:bookmarkEnd w:id="7"/>
      <w:r>
        <w:rPr>
          <w:szCs w:val="32"/>
          <w:lang w:val="en"/>
        </w:rPr>
        <w:t xml:space="preserve"> </w:t>
      </w:r>
    </w:p>
    <w:p w14:paraId="3A334E22" w14:textId="77777777" w:rsidR="0073746C" w:rsidRDefault="0073746C" w:rsidP="0073746C">
      <w:pPr>
        <w:pStyle w:val="PAGParagraphListingHighlights"/>
        <w:numPr>
          <w:ilvl w:val="0"/>
          <w:numId w:val="6"/>
        </w:numPr>
        <w:ind w:left="357" w:hanging="357"/>
        <w:rPr>
          <w:kern w:val="2"/>
        </w:rPr>
      </w:pPr>
      <w:r>
        <w:rPr>
          <w:lang w:val="en"/>
        </w:rPr>
        <w:t>Tríada de tecnologías de propulsión.</w:t>
      </w:r>
    </w:p>
    <w:p w14:paraId="5D494DF5" w14:textId="77777777" w:rsidR="0073746C" w:rsidRPr="00B9564B" w:rsidRDefault="0073746C" w:rsidP="0073746C">
      <w:pPr>
        <w:pStyle w:val="PAGParagraphNormal"/>
        <w:rPr>
          <w:lang w:val="en-US"/>
        </w:rPr>
      </w:pPr>
      <w:r>
        <w:rPr>
          <w:lang w:val="en"/>
        </w:rPr>
        <w:t>Porsche desarrolla conceptos de propulsión innovadores: con ofensivas de producto como la familia de híbridos Panamera ampliada y radicalmente mejorada, la rápida expansión de la infraestructura de carga y la participación en el desarrollo de electrocombustibles, el fabricante de automóviles deportivos asume un papel pionero.</w:t>
      </w:r>
    </w:p>
    <w:p w14:paraId="54500B60" w14:textId="17A4E20D" w:rsidR="00570BC6" w:rsidRPr="00256D84" w:rsidRDefault="00D97815" w:rsidP="007B1CB2">
      <w:pPr>
        <w:pStyle w:val="PAGParagraphListingHighlights"/>
      </w:pPr>
      <w:r>
        <w:rPr>
          <w:lang w:val="en"/>
        </w:rPr>
        <w:t>Un trío eficiente</w:t>
      </w:r>
    </w:p>
    <w:p w14:paraId="4D8A17EA" w14:textId="77777777" w:rsidR="000B2C1A" w:rsidRDefault="000B2C1A" w:rsidP="000B2C1A">
      <w:pPr>
        <w:pStyle w:val="PAGParagraphNormal"/>
      </w:pPr>
      <w:bookmarkStart w:id="8" w:name="_Hlk54941777"/>
      <w:r w:rsidRPr="00B9564B">
        <w:t>Por primera vez, Porsche ofrece tres híbridos enchufables diferentes en una serie de modelos: el 4S E-Hybrid se posiciona como un derivado completamente nuevo con una potencia del sistema de 412 kW (560 CV) entre el 4 E-Hybrid (340 kW/462 CV) y el Turbo S E-Hybrid (515 kW/700 CV</w:t>
      </w:r>
      <w:bookmarkEnd w:id="8"/>
      <w:r w:rsidRPr="00B9564B">
        <w:t>).</w:t>
      </w:r>
    </w:p>
    <w:p w14:paraId="62C5B88D" w14:textId="111BEE96" w:rsidR="00BB2487" w:rsidRPr="007169C4" w:rsidRDefault="000B2C1A" w:rsidP="000B2C1A">
      <w:pPr>
        <w:pStyle w:val="PAGParagraphListingHighlights"/>
      </w:pPr>
      <w:r>
        <w:rPr>
          <w:lang w:val="en"/>
        </w:rPr>
        <w:t>El ADN del 918 Spyder</w:t>
      </w:r>
    </w:p>
    <w:p w14:paraId="7E8FD78D" w14:textId="760328BF" w:rsidR="000B2C1A" w:rsidRPr="00B9564B" w:rsidRDefault="000B2C1A" w:rsidP="000B2C1A">
      <w:pPr>
        <w:pStyle w:val="PAGParagraphNormal"/>
        <w:rPr>
          <w:lang w:val="en-US"/>
        </w:rPr>
      </w:pPr>
      <w:bookmarkStart w:id="9" w:name="_Hlk54941855"/>
      <w:bookmarkStart w:id="10" w:name="_Toc31198328"/>
      <w:bookmarkStart w:id="11" w:name="_Toc31198383"/>
      <w:bookmarkStart w:id="12" w:name="_Toc31198521"/>
      <w:r w:rsidRPr="00B9564B">
        <w:t xml:space="preserve">El modelo Panamera más potente es un híbrido enchufable: el Turbo S E-Hybrid alcanza ahora una potencia del sistema de 515 kW (700 CV) y un par de 870 Nm. </w:t>
      </w:r>
      <w:r>
        <w:rPr>
          <w:lang w:val="en"/>
        </w:rPr>
        <w:t>La estrategia de refuerzo orientada a las prestaciones procede del superdeportivo 918 Spyder.</w:t>
      </w:r>
    </w:p>
    <w:bookmarkEnd w:id="9"/>
    <w:p w14:paraId="5E4BFE9E" w14:textId="43F23492" w:rsidR="007B1CB2" w:rsidRPr="007169C4" w:rsidRDefault="000B2C1A" w:rsidP="000B2C1A">
      <w:pPr>
        <w:pStyle w:val="PAGParagraphListingHighlights"/>
      </w:pPr>
      <w:r>
        <w:rPr>
          <w:lang w:val="en"/>
        </w:rPr>
        <w:t>Mayor autonomía eléctrica</w:t>
      </w:r>
    </w:p>
    <w:p w14:paraId="6CD141D9" w14:textId="3841FA1B" w:rsidR="000B2C1A" w:rsidRPr="00B9564B" w:rsidRDefault="000B2C1A" w:rsidP="000B2C1A">
      <w:pPr>
        <w:pStyle w:val="PAGParagraphNormal"/>
        <w:rPr>
          <w:lang w:val="en-US"/>
        </w:rPr>
      </w:pPr>
      <w:bookmarkStart w:id="13" w:name="_Hlk54942707"/>
      <w:bookmarkStart w:id="14" w:name="_Toc31198329"/>
      <w:bookmarkStart w:id="15" w:name="_Toc31198384"/>
      <w:bookmarkStart w:id="16" w:name="_Toc31198457"/>
      <w:bookmarkStart w:id="17" w:name="_Toc31198522"/>
      <w:bookmarkEnd w:id="10"/>
      <w:bookmarkEnd w:id="11"/>
      <w:bookmarkEnd w:id="12"/>
      <w:r>
        <w:rPr>
          <w:lang w:val="en"/>
        </w:rPr>
        <w:t>Mediante una nueva batería de alto voltaje de 17,9 kWh (anteriormente 14,1 kWh) y modos de conducción optimizados, la autonomía exclusivamente eléctrica de los modelos Panamera híbridos se ha incrementado hasta un 30 por ciento. El volumen del maletero de los modelos Panamera híbridos no cambia por este motivo.</w:t>
      </w:r>
      <w:bookmarkEnd w:id="13"/>
      <w:r>
        <w:rPr>
          <w:lang w:val="en"/>
        </w:rPr>
        <w:t xml:space="preserve"> </w:t>
      </w:r>
    </w:p>
    <w:p w14:paraId="5A0508B5" w14:textId="77777777" w:rsidR="000B2C1A" w:rsidRPr="006A3D70" w:rsidRDefault="000B2C1A" w:rsidP="000B2C1A">
      <w:pPr>
        <w:pStyle w:val="PAGParagraphListingHighlights"/>
      </w:pPr>
      <w:r>
        <w:rPr>
          <w:lang w:val="en"/>
        </w:rPr>
        <w:t>Experiencia de conducción mejorada I</w:t>
      </w:r>
    </w:p>
    <w:p w14:paraId="0E2BF29B" w14:textId="77777777" w:rsidR="000B2C1A" w:rsidRPr="00B9564B" w:rsidRDefault="000B2C1A" w:rsidP="000B2C1A">
      <w:pPr>
        <w:pStyle w:val="PAGParagraphNormal"/>
        <w:rPr>
          <w:lang w:val="en-US"/>
        </w:rPr>
      </w:pPr>
      <w:r>
        <w:rPr>
          <w:lang w:val="en"/>
        </w:rPr>
        <w:t>Con los modos de conducción optimizados, se ha enfocado aún más claramente la carga altamente eficiente durante la marcha. La batería se carga ahora con mayor rapidez. Además, la recuperación inteligente posibilita un uso todavía más eficiente de la propulsión eléctrica.</w:t>
      </w:r>
    </w:p>
    <w:p w14:paraId="4706D889" w14:textId="77777777" w:rsidR="000B2C1A" w:rsidRPr="006A3D70" w:rsidRDefault="000B2C1A" w:rsidP="000B2C1A">
      <w:pPr>
        <w:pStyle w:val="PAGParagraphListingHighlights"/>
      </w:pPr>
      <w:r>
        <w:rPr>
          <w:lang w:val="en"/>
        </w:rPr>
        <w:lastRenderedPageBreak/>
        <w:t>Experiencia de conducción mejorada II</w:t>
      </w:r>
    </w:p>
    <w:p w14:paraId="6CADCA65" w14:textId="33E08D85" w:rsidR="000B2C1A" w:rsidRPr="00B9564B" w:rsidRDefault="000B2C1A" w:rsidP="000B2C1A">
      <w:pPr>
        <w:pStyle w:val="PAGParagraphNormal"/>
        <w:rPr>
          <w:lang w:val="en-US"/>
        </w:rPr>
      </w:pPr>
      <w:r>
        <w:rPr>
          <w:lang w:val="en"/>
        </w:rPr>
        <w:t>Todos los componentes del chasis y sistemas de regulación han sido perfeccionados de manera consecuente. En los nuevos modelos Panamera se benefician de ello, en igual medida, el confort de conducción y la estabilidad en las curvas. El rango entre la deportividad y el confort se ha ampliado aún más.</w:t>
      </w:r>
    </w:p>
    <w:p w14:paraId="58572279" w14:textId="77777777" w:rsidR="00F653C0" w:rsidRPr="00B9564B" w:rsidRDefault="00F653C0" w:rsidP="00F653C0">
      <w:pPr>
        <w:pStyle w:val="PAGParagraphListingHighlights"/>
        <w:numPr>
          <w:ilvl w:val="0"/>
          <w:numId w:val="6"/>
        </w:numPr>
        <w:ind w:left="357" w:hanging="357"/>
        <w:rPr>
          <w:lang w:val="en-US"/>
        </w:rPr>
      </w:pPr>
      <w:r>
        <w:rPr>
          <w:lang w:val="en"/>
        </w:rPr>
        <w:t>Electrocombustibles como contribución a la reducción de CO</w:t>
      </w:r>
      <w:r>
        <w:rPr>
          <w:vertAlign w:val="subscript"/>
          <w:lang w:val="en"/>
        </w:rPr>
        <w:t>2</w:t>
      </w:r>
      <w:r>
        <w:rPr>
          <w:lang w:val="en"/>
        </w:rPr>
        <w:t>.</w:t>
      </w:r>
    </w:p>
    <w:p w14:paraId="21D26EAD" w14:textId="77777777" w:rsidR="00F653C0" w:rsidRDefault="00F653C0" w:rsidP="00F653C0">
      <w:pPr>
        <w:pStyle w:val="PAGParagraphNormal"/>
      </w:pPr>
      <w:r>
        <w:rPr>
          <w:lang w:val="en"/>
        </w:rPr>
        <w:t>En paralelo a la electromovilidad, Porsche está investigando los electrocombustibles, que permiten el funcionamiento prácticamente neutro en CO</w:t>
      </w:r>
      <w:r>
        <w:rPr>
          <w:vertAlign w:val="subscript"/>
          <w:lang w:val="en"/>
        </w:rPr>
        <w:t>2</w:t>
      </w:r>
      <w:r>
        <w:rPr>
          <w:lang w:val="en"/>
        </w:rPr>
        <w:t xml:space="preserve"> incluso de vehículos exclusivamente de combustión e híbridos enchufables. Los electrocombustibles son carburantes líquidos sintéticos creados a partir de hidrógeno y de monóxido de carbono extraído del aire. Idealmente se producen empleando tan solo energía renovable. </w:t>
      </w:r>
    </w:p>
    <w:p w14:paraId="20EC99D9" w14:textId="77777777" w:rsidR="00F653C0" w:rsidRPr="00B9564B" w:rsidRDefault="00F653C0" w:rsidP="00F653C0">
      <w:pPr>
        <w:pStyle w:val="PAGParagraphListingHighlights"/>
        <w:numPr>
          <w:ilvl w:val="0"/>
          <w:numId w:val="6"/>
        </w:numPr>
        <w:ind w:left="357" w:hanging="357"/>
        <w:rPr>
          <w:lang w:val="en-US"/>
        </w:rPr>
      </w:pPr>
      <w:r>
        <w:rPr>
          <w:lang w:val="en"/>
        </w:rPr>
        <w:t>Ampliación de la infraestructura de carga.</w:t>
      </w:r>
    </w:p>
    <w:p w14:paraId="48A1FFA8" w14:textId="0FA3E225" w:rsidR="00F653C0" w:rsidRPr="00B9564B" w:rsidRDefault="00F653C0" w:rsidP="000B2C1A">
      <w:pPr>
        <w:pStyle w:val="PAGParagraphNormal"/>
        <w:rPr>
          <w:lang w:val="en-US"/>
        </w:rPr>
      </w:pPr>
      <w:r>
        <w:rPr>
          <w:lang w:val="en"/>
        </w:rPr>
        <w:t>Porsche sigue invirtiendo en la red Porsche Destination Charging. Esta red de carga es una parte del concepto del Porsche Charging Service. Abarca puntos de carga con puntos de carga con corriente alterna (CA) de 400 voltios y una potencia de 11 kW.</w:t>
      </w:r>
    </w:p>
    <w:p w14:paraId="7ACE08E6" w14:textId="77777777" w:rsidR="0073746C" w:rsidRPr="007169C4" w:rsidRDefault="0073746C" w:rsidP="0073746C">
      <w:pPr>
        <w:pStyle w:val="PAGColumn-Title"/>
      </w:pPr>
      <w:bookmarkStart w:id="18" w:name="_Toc56155940"/>
      <w:bookmarkStart w:id="19" w:name="_Toc57811240"/>
      <w:r>
        <w:rPr>
          <w:bCs w:val="0"/>
          <w:lang w:val="en"/>
        </w:rPr>
        <w:lastRenderedPageBreak/>
        <w:t>Tríada de tecnologías de propulsión</w:t>
      </w:r>
      <w:bookmarkEnd w:id="18"/>
      <w:bookmarkEnd w:id="19"/>
    </w:p>
    <w:p w14:paraId="4D385651" w14:textId="77777777" w:rsidR="0073746C" w:rsidRPr="00B9564B" w:rsidRDefault="0073746C" w:rsidP="0073746C">
      <w:pPr>
        <w:pStyle w:val="PAGHeadline-1-Chapter"/>
        <w:rPr>
          <w:rFonts w:ascii="Calibri Light" w:hAnsi="Calibri Light" w:cs="Mangal"/>
          <w:lang w:val="en-US"/>
        </w:rPr>
      </w:pPr>
      <w:bookmarkStart w:id="20" w:name="_Toc56155941"/>
      <w:bookmarkStart w:id="21" w:name="_Toc57811241"/>
      <w:r>
        <w:rPr>
          <w:lang w:val="en"/>
        </w:rPr>
        <w:t>Porsche apuesta sistemáticamente por la movilidad sostenible</w:t>
      </w:r>
      <w:bookmarkEnd w:id="20"/>
      <w:bookmarkEnd w:id="21"/>
    </w:p>
    <w:p w14:paraId="05543786" w14:textId="77777777" w:rsidR="0073746C" w:rsidRPr="00B9564B" w:rsidRDefault="0073746C" w:rsidP="0073746C">
      <w:pPr>
        <w:pStyle w:val="PAGParagraphNormal"/>
        <w:rPr>
          <w:lang w:val="en-US"/>
        </w:rPr>
      </w:pPr>
      <w:r>
        <w:rPr>
          <w:lang w:val="en"/>
        </w:rPr>
        <w:t>Como pionera de la movilidad sostenible, en los últimos años Porsche ha dado importantes pasos: entre otras cosas, con el exitoso lanzamiento del deportivo eléctrico Taycan y el inicio de su producción en la fábrica de Zuffenhausen, neutra en CO</w:t>
      </w:r>
      <w:r>
        <w:rPr>
          <w:vertAlign w:val="subscript"/>
          <w:lang w:val="en"/>
        </w:rPr>
        <w:t>2</w:t>
      </w:r>
      <w:r>
        <w:rPr>
          <w:lang w:val="en"/>
        </w:rPr>
        <w:t xml:space="preserve">. Con ofensivas de producto como la familia de híbridos Panamera ampliada y radicalmente mejorada, la rápida expansión de la infraestructura de carga y la participación en el desarrollo de electrocombustibles, Porsche se mantiene fiel a su papel de pionero tecnológico. </w:t>
      </w:r>
    </w:p>
    <w:p w14:paraId="0AE2B7D8" w14:textId="77777777" w:rsidR="0073746C" w:rsidRPr="00B9564B" w:rsidRDefault="0073746C" w:rsidP="0073746C">
      <w:pPr>
        <w:pStyle w:val="PAGParagraphNormal"/>
        <w:rPr>
          <w:lang w:val="en-US"/>
        </w:rPr>
      </w:pPr>
      <w:r>
        <w:rPr>
          <w:lang w:val="en"/>
        </w:rPr>
        <w:t>«Ya en 2025, la mitad de nuestros modelos nuevos incorporarán una propulsión total o parcialmente eléctrica», afirma Michael Steiner, director de desarrollo de Porsche AG. «Porsche apuesta por una tríada de sistemas de propulsión. Junto a los vehículos exclusivamente eléctricos como el Taycan, seguiremos desarrollando también motores de combustión altamente emocionales, así como híbridos enchufables sin emisiones locales. Estamos convencidos de que estas tres tecnologías de propulsión se impondrán en el mercado a medio plazo».</w:t>
      </w:r>
    </w:p>
    <w:p w14:paraId="36B39ABB" w14:textId="77777777" w:rsidR="0073746C" w:rsidRPr="00B9564B" w:rsidRDefault="0073746C" w:rsidP="0073746C">
      <w:pPr>
        <w:pStyle w:val="PAGParagraphNormal"/>
        <w:rPr>
          <w:lang w:val="en-US"/>
        </w:rPr>
      </w:pPr>
      <w:r>
        <w:rPr>
          <w:lang w:val="en"/>
        </w:rPr>
        <w:t>El potencial de los motores de combustión eficientes todavía no se ha agotado. Es posible seguir aumentando la eficiencia de los motores de gasolina. Como medida paralela al futuro exclusivamente eléctrico, Porsche apuesta por los electrocombustibles, entre otras opciones. Estos combustibles sintéticos posibilitan el funcionamiento prácticamente neutro en CO</w:t>
      </w:r>
      <w:r>
        <w:rPr>
          <w:vertAlign w:val="subscript"/>
          <w:lang w:val="en"/>
        </w:rPr>
        <w:t>2</w:t>
      </w:r>
      <w:r>
        <w:rPr>
          <w:lang w:val="en"/>
        </w:rPr>
        <w:t xml:space="preserve"> de los motores de gasolina, ya que solo se emite la cantidad de CO</w:t>
      </w:r>
      <w:r>
        <w:rPr>
          <w:vertAlign w:val="subscript"/>
          <w:lang w:val="en"/>
        </w:rPr>
        <w:t>2</w:t>
      </w:r>
      <w:r>
        <w:rPr>
          <w:lang w:val="en"/>
        </w:rPr>
        <w:t xml:space="preserve"> que se ha extraído previamente de la atmósfera durante la producción del electrocombustible. Steiner: «Estamos muy orgullosos de que el 70 por ciento de todos los Porsche fabricados sigan circulando hoy en día. La mayoría de ellos podrían funcionar con emisión de CO</w:t>
      </w:r>
      <w:r>
        <w:rPr>
          <w:vertAlign w:val="subscript"/>
          <w:lang w:val="en"/>
        </w:rPr>
        <w:t>2</w:t>
      </w:r>
      <w:r>
        <w:rPr>
          <w:lang w:val="en"/>
        </w:rPr>
        <w:t xml:space="preserve"> reducida por medio de electrocombustibles. Los carburantes completamente sintéticos también marcarían una diferencia sostenible en la competición deportiva».</w:t>
      </w:r>
    </w:p>
    <w:p w14:paraId="2343D9CB" w14:textId="77777777" w:rsidR="0073746C" w:rsidRPr="00B9564B" w:rsidRDefault="0073746C" w:rsidP="0073746C">
      <w:pPr>
        <w:pStyle w:val="PAGParagraphNormal"/>
        <w:rPr>
          <w:lang w:val="en-US"/>
        </w:rPr>
      </w:pPr>
      <w:r>
        <w:rPr>
          <w:lang w:val="en"/>
        </w:rPr>
        <w:t xml:space="preserve">Porsche tiene un concepto integral de la sostenibilidad y actúa en los ámbitos ecológico, social y económico. El objetivo es crecer generando valor a partir de estas premisas: Porsche quiere seguir siendo rentable y, al mismo tiempo, fortalecer su responsabilidad social y reducir las repercusiones negativas sobre el medio ambiente. La sostenibilidad es </w:t>
      </w:r>
      <w:r>
        <w:rPr>
          <w:lang w:val="en"/>
        </w:rPr>
        <w:lastRenderedPageBreak/>
        <w:t>un pilar fundamental de la estrategia corporativa: la empresa adopta medidas a lo largo de toda la cadena de creación de valor, a fin de operar de manera más sostenible en todos los niveles de sus actividades.</w:t>
      </w:r>
    </w:p>
    <w:p w14:paraId="7D06FCC3" w14:textId="77777777" w:rsidR="0073746C" w:rsidRPr="00B9564B" w:rsidRDefault="0073746C" w:rsidP="0073746C">
      <w:pPr>
        <w:pStyle w:val="PAGParagraphNormal"/>
        <w:rPr>
          <w:lang w:val="en-US"/>
        </w:rPr>
      </w:pPr>
      <w:r>
        <w:rPr>
          <w:lang w:val="en"/>
        </w:rPr>
        <w:t>En el actual informe de negocio y sostenibilidad de Porsche AG, así como en el Porsche Newsroom, se ofrece información detallada sobre la gestión de la sostenibilidad y la estrategia de la empresa, así como acerca del diálogo con las partes interesadas y sobre los indicadores.</w:t>
      </w:r>
    </w:p>
    <w:p w14:paraId="101BB1A4" w14:textId="77777777" w:rsidR="0073746C" w:rsidRPr="00B9564B" w:rsidRDefault="0073746C" w:rsidP="0073746C">
      <w:pPr>
        <w:pStyle w:val="PAGParagraphNormal"/>
        <w:keepNext/>
        <w:rPr>
          <w:rStyle w:val="Fett"/>
          <w:lang w:val="en-US"/>
        </w:rPr>
      </w:pPr>
      <w:r>
        <w:rPr>
          <w:rStyle w:val="Fett"/>
          <w:lang w:val="en"/>
        </w:rPr>
        <w:t>Híbridos enchufables: hasta un 30 por ciento más de autonomía</w:t>
      </w:r>
    </w:p>
    <w:p w14:paraId="117A8A2B" w14:textId="77777777" w:rsidR="0073746C" w:rsidRPr="00B9564B" w:rsidRDefault="0073746C" w:rsidP="0073746C">
      <w:pPr>
        <w:pStyle w:val="PAGParagraphNormal"/>
        <w:rPr>
          <w:lang w:val="en-US"/>
        </w:rPr>
      </w:pPr>
      <w:r>
        <w:rPr>
          <w:lang w:val="en"/>
        </w:rPr>
        <w:t xml:space="preserve">Con el Panamera, Porsche ofrece por primera vez tres híbridos enchufables diferentes en una serie de modelos: el 4S E-Hybrid se posiciona como un derivado completamente nuevo con una potencia del sistema de 412 kW (560 CV) entre el 4 E-Hybrid (340 kW/462 CV) y el Turbo S E-Hybrid (515 kW/700 CV). </w:t>
      </w:r>
    </w:p>
    <w:p w14:paraId="25133FD5" w14:textId="77777777" w:rsidR="0073746C" w:rsidRPr="00B9564B" w:rsidRDefault="0073746C" w:rsidP="0073746C">
      <w:pPr>
        <w:pStyle w:val="PAGParagraphNormal"/>
        <w:rPr>
          <w:lang w:val="en-US"/>
        </w:rPr>
      </w:pPr>
      <w:r>
        <w:rPr>
          <w:lang w:val="en"/>
        </w:rPr>
        <w:t xml:space="preserve">Mediante una nueva batería de alto voltaje de 17,9 kWh (anteriormente 14,1 kWh) y modos de conducción optimizados, la autonomía exclusivamente eléctrica de los modelos Panamera híbridos se ha incrementado hasta un 30 por ciento. </w:t>
      </w:r>
    </w:p>
    <w:p w14:paraId="6E84884C" w14:textId="77777777" w:rsidR="0073746C" w:rsidRPr="00B9564B" w:rsidRDefault="0073746C" w:rsidP="0073746C">
      <w:pPr>
        <w:pStyle w:val="PAGParagraphNormal"/>
        <w:rPr>
          <w:lang w:val="en-US"/>
        </w:rPr>
      </w:pPr>
      <w:r>
        <w:rPr>
          <w:lang w:val="en"/>
        </w:rPr>
        <w:t>Con los modos de conducción optimizados, se ha enfocado aún más claramente la carga altamente eficiente durante la marcha. La batería se carga ahora con mayor rapidez. Además, la recuperación inteligente posibilita un uso todavía más eficiente de la propulsión eléctrica.</w:t>
      </w:r>
    </w:p>
    <w:p w14:paraId="6D6DB51B" w14:textId="77777777" w:rsidR="0073746C" w:rsidRPr="00B9564B" w:rsidRDefault="0073746C" w:rsidP="0073746C">
      <w:pPr>
        <w:pStyle w:val="PAGParagraphNormal"/>
        <w:keepNext/>
        <w:rPr>
          <w:rStyle w:val="Fett"/>
          <w:lang w:val="en-US"/>
        </w:rPr>
      </w:pPr>
      <w:r>
        <w:rPr>
          <w:rStyle w:val="Fett"/>
          <w:lang w:val="en"/>
        </w:rPr>
        <w:t>Electrocombustibles: gasolina a partir del aire, el agua y la electricidad</w:t>
      </w:r>
    </w:p>
    <w:p w14:paraId="24C9C36C" w14:textId="77777777" w:rsidR="0073746C" w:rsidRPr="00B9564B" w:rsidRDefault="0073746C" w:rsidP="0073746C">
      <w:pPr>
        <w:pStyle w:val="PAGParagraphNormal"/>
        <w:rPr>
          <w:lang w:val="en-US"/>
        </w:rPr>
      </w:pPr>
      <w:r>
        <w:rPr>
          <w:lang w:val="en"/>
        </w:rPr>
        <w:t>Porsche está investigando con empeño los electrocombustibles: carburantes sintéticos permiten el funcionamiento prácticamente neutro en CO</w:t>
      </w:r>
      <w:r>
        <w:rPr>
          <w:vertAlign w:val="subscript"/>
          <w:lang w:val="en"/>
        </w:rPr>
        <w:t>2</w:t>
      </w:r>
      <w:r>
        <w:rPr>
          <w:lang w:val="en"/>
        </w:rPr>
        <w:t xml:space="preserve"> incluso de vehículos exclusivamente de combustión e híbridos enchufables. Los electrocombustibles son carburantes líquidos sintéticos creados a partir del agua y de monóxido de carbono extraído del aire. Para su producción se utiliza electricidad procedente de energías renovables. Para el almacenamiento y la distribución de estos combustibles se puede utilizar la infraestructura convencional. Los electrocombustibles pueden contribuir a reducir el CO</w:t>
      </w:r>
      <w:r>
        <w:rPr>
          <w:vertAlign w:val="subscript"/>
          <w:lang w:val="en"/>
        </w:rPr>
        <w:t>2</w:t>
      </w:r>
      <w:r>
        <w:rPr>
          <w:lang w:val="en"/>
        </w:rPr>
        <w:t>, que a su vez es un importante elemento de la estrategia de sostenibilidad de Porsche.</w:t>
      </w:r>
    </w:p>
    <w:p w14:paraId="6B5ACE63" w14:textId="77777777" w:rsidR="0073746C" w:rsidRPr="00B9564B" w:rsidRDefault="0073746C" w:rsidP="0073746C">
      <w:pPr>
        <w:pStyle w:val="PAGParagraphNormal"/>
        <w:rPr>
          <w:lang w:val="en-US"/>
        </w:rPr>
      </w:pPr>
    </w:p>
    <w:p w14:paraId="15ACA919" w14:textId="77777777" w:rsidR="0073746C" w:rsidRPr="00B9564B" w:rsidRDefault="0073746C" w:rsidP="0073746C">
      <w:pPr>
        <w:pStyle w:val="PAGParagraphNormal"/>
        <w:rPr>
          <w:lang w:val="en"/>
        </w:rPr>
      </w:pPr>
      <w:r>
        <w:rPr>
          <w:lang w:val="en"/>
        </w:rPr>
        <w:t>Porsche apoya el desarrollo de dichos combustibles también en el marco de la iniciativa de investigación «reFuels – Replantear los combustibles». El Instituto de Tecnología de Karlsruhe (KIT) estudia la producción y el uso eficientes de combustibles renovables en colaboración con el Ministerio de Transporte de Baden-Württemberg, otros tres ministerios y numerosos socios de los sectores de la automoción, de los proveedores de automoción y del aceite mineral.</w:t>
      </w:r>
    </w:p>
    <w:p w14:paraId="1BDFE4BF" w14:textId="70D0325B" w:rsidR="0073746C" w:rsidRPr="00B9564B" w:rsidRDefault="0073746C" w:rsidP="0073746C">
      <w:pPr>
        <w:pStyle w:val="PAGParagraphNormal"/>
        <w:keepNext/>
        <w:rPr>
          <w:rStyle w:val="Fett"/>
          <w:lang w:val="en-US"/>
        </w:rPr>
      </w:pPr>
      <w:r>
        <w:rPr>
          <w:rStyle w:val="Fett"/>
          <w:lang w:val="en"/>
        </w:rPr>
        <w:t>Porsche Destination Charging: ampliación de la infraestructura de carga</w:t>
      </w:r>
    </w:p>
    <w:p w14:paraId="595FE0C6" w14:textId="77777777" w:rsidR="005C568F" w:rsidRPr="00B9564B" w:rsidRDefault="00782194" w:rsidP="0073746C">
      <w:pPr>
        <w:pStyle w:val="PAGParagraphNormal"/>
        <w:rPr>
          <w:lang w:val="en-US"/>
        </w:rPr>
      </w:pPr>
      <w:r>
        <w:rPr>
          <w:lang w:val="en"/>
        </w:rPr>
        <w:t xml:space="preserve">Porsche acelera el ritmo: La empresa sigue invirtiendo en la infraestructura de carga Porsche Destination Charging. Esta red de carga es una parte del concepto del Porsche Charging Service. Abarca puntos de carga con puntos de carga con corriente alterna (CA) de 400 voltios y una potencia de 11 kW. </w:t>
      </w:r>
    </w:p>
    <w:p w14:paraId="5AAE75ED" w14:textId="0D60E5E3" w:rsidR="00BB3C5E" w:rsidRPr="00B9564B" w:rsidRDefault="00782194" w:rsidP="0073746C">
      <w:pPr>
        <w:pStyle w:val="PAGParagraphNormal"/>
        <w:rPr>
          <w:lang w:val="en-US"/>
        </w:rPr>
      </w:pPr>
      <w:r>
        <w:rPr>
          <w:lang w:val="en"/>
        </w:rPr>
        <w:t>El servicio concentra en una aplicación todos los requisitos esenciales que debe satisfacer un servicio de carga: búsqueda de estaciones de carga y navegación a estas, autentificación en la columna de carga, pago y asistencia técnica.</w:t>
      </w:r>
    </w:p>
    <w:p w14:paraId="7D9FE982" w14:textId="77777777" w:rsidR="0073746C" w:rsidRPr="00B9564B" w:rsidRDefault="0073746C" w:rsidP="000B2C1A">
      <w:pPr>
        <w:pStyle w:val="PAGParagraphNormal"/>
        <w:rPr>
          <w:lang w:val="en-US"/>
        </w:rPr>
      </w:pPr>
    </w:p>
    <w:p w14:paraId="1448D275" w14:textId="52FEB8AB" w:rsidR="003867B1" w:rsidRPr="007169C4" w:rsidRDefault="000B2C1A" w:rsidP="003867B1">
      <w:pPr>
        <w:pStyle w:val="PAGColumn-Title"/>
      </w:pPr>
      <w:bookmarkStart w:id="22" w:name="_Toc57811242"/>
      <w:r>
        <w:rPr>
          <w:bCs w:val="0"/>
          <w:lang w:val="en"/>
        </w:rPr>
        <w:lastRenderedPageBreak/>
        <w:t>Resumen</w:t>
      </w:r>
      <w:bookmarkEnd w:id="22"/>
    </w:p>
    <w:p w14:paraId="521DC939" w14:textId="0F901544" w:rsidR="003867B1" w:rsidRPr="007169C4" w:rsidRDefault="00256D84" w:rsidP="003867B1">
      <w:pPr>
        <w:pStyle w:val="PAGHeadline-1-Chapter"/>
        <w:rPr>
          <w:rFonts w:ascii="Calibri Light" w:hAnsi="Calibri Light" w:cs="Mangal"/>
        </w:rPr>
      </w:pPr>
      <w:bookmarkStart w:id="23" w:name="_Toc57811243"/>
      <w:bookmarkEnd w:id="14"/>
      <w:bookmarkEnd w:id="15"/>
      <w:bookmarkEnd w:id="16"/>
      <w:bookmarkEnd w:id="17"/>
      <w:r>
        <w:rPr>
          <w:lang w:val="en"/>
        </w:rPr>
        <w:t>Ampliación consecuente de la estrategia E-Performance</w:t>
      </w:r>
      <w:bookmarkEnd w:id="23"/>
    </w:p>
    <w:p w14:paraId="36A944CB" w14:textId="4E2A773C" w:rsidR="000B2C1A" w:rsidRPr="00B9564B" w:rsidRDefault="000B2C1A" w:rsidP="000B2C1A">
      <w:pPr>
        <w:pStyle w:val="PAGParagraphNormal"/>
        <w:rPr>
          <w:lang w:val="en-US"/>
        </w:rPr>
      </w:pPr>
      <w:r>
        <w:rPr>
          <w:lang w:val="en"/>
        </w:rPr>
        <w:t>Porsche sigue aplicando sistemáticamente su estrategia E-Performance. El nuevo Panamera Turbo S E-Hybrid combina un motor V8 biturbo de cuatro litros con 420 kW (571 CV) y un motor eléctrico de 100 kW (136 CV) para marcar, con una potencia del sistema de 515 kW (700 CV) y un par de 870 Nm, el pico de potencia de la serie de modelos completamente renovada. Mediante una nueva batería de 17,9 kWh y modos de conducción optimizados, se ha incrementado en hasta un 30 por ciento la autonomía exclusivamente eléctrica. Lo mismo puede decirse del nuevo Panamera 4 E-Hybrid, en el que el motor eléctrico coopera con un V6 biturbo de 2,9 litros y 243 kW (330 CV) para ofrecer una potencia del sistema de 340 kW (462 CV). En combinación con el nuevo Panamera 4S E-Hybrid con una potencia del sistema de 412 kW (560 CV), Porsche ofrece ahora, por primera vez, tres modelos híbridos enchufables Panamera, disponibles respectivamente en las variantes de carrocería berlina deportiva, Executive (versión larga) y Sport Turismo.</w:t>
      </w:r>
    </w:p>
    <w:p w14:paraId="0208FA21" w14:textId="45703A7E" w:rsidR="000B2C1A" w:rsidRPr="00B9564B" w:rsidRDefault="000B2C1A" w:rsidP="000B2C1A">
      <w:pPr>
        <w:pStyle w:val="PAGParagraphNormal"/>
        <w:rPr>
          <w:lang w:val="en"/>
        </w:rPr>
      </w:pPr>
      <w:r>
        <w:rPr>
          <w:lang w:val="en"/>
        </w:rPr>
        <w:t>El elemento central de la arquitectura de propulsión en todos los modelos Panamera híbridos es el motor eléctrico, que está integrado en la caja de cambios de doble embrague y ocho velocidades PDK y genera una potencia de 100 kW (136 CV) y un par de 400 Nm. La interacción con el respectivo motor de combustión posibilita unas prestaciones extraordinarias. En combinación con el paquete Sport Chrono de serie, el nuevo Panamera Turbo S E-Hybrid, cuyo biturbo V8 tetracilíndrico desarrolla ahora 420 kW (571 CV) en lugar de 404 kW (550 CV), acelera ahora de 0 a 100 km/h en 3,2 segundos (0,2 segundos menos que el modelo predecesor). La velocidad máxima se sitúa en 315 km/h, lo que supone un incremento de 5 km/h. El Panamera 4 E-Hybrid acelera de 0 a 100 km/h en 4,4 segundos (-0,2 s) y alcanza los 280 km/h (+2 km/h).</w:t>
      </w:r>
    </w:p>
    <w:p w14:paraId="4D08D466" w14:textId="289617B3" w:rsidR="000B2C1A" w:rsidRPr="00B9564B" w:rsidRDefault="000B2C1A" w:rsidP="000B2C1A">
      <w:pPr>
        <w:pStyle w:val="PAGParagraphNormal"/>
        <w:rPr>
          <w:lang w:val="en-US"/>
        </w:rPr>
      </w:pPr>
      <w:r>
        <w:rPr>
          <w:lang w:val="en"/>
        </w:rPr>
        <w:t xml:space="preserve">Por medio de celdas optimizadas se ha incrementado de 14,1 a 17,9 kWh la capacidad bruta de la batería de alta tensión, y se han adaptado los modos de conducción para lograr un aprovechamiento de la energía aún más eficiente. El nuevo Panamera Turbo S E-Hybrid posee una autonomía exclusivamente eléctrica de hasta 50 km según WLTP EAER City (NEDC: hasta 59 km), mientras que el Panamera 4 E-Hybrid es capaz de circular sin </w:t>
      </w:r>
      <w:r>
        <w:rPr>
          <w:lang w:val="en"/>
        </w:rPr>
        <w:lastRenderedPageBreak/>
        <w:t>emisiones locales hasta 56 km según WLTP EAER City (NEDC: hasta 64 km). En el caso del 4S E-Hybrid son, según WLTP EAER City, hasta 54 km (NEDC: hasta 64 km). Es preferible cargar los modelos híbridos enchufables Porsche en casa, pero se pueden cargar en cualquier toma de corriente doméstica o enchufe convencional. El Porsche Mobile Charger de serie permite una potencia de carga específica para cada modelo de hasta 7,2 kW. Además, también se puede cargar en puntos de carga públicos con un cable Mode 3.</w:t>
      </w:r>
    </w:p>
    <w:p w14:paraId="4D9B343A" w14:textId="1638B1AD" w:rsidR="000B2C1A" w:rsidRPr="00B9564B" w:rsidRDefault="000B2C1A" w:rsidP="000B2C1A">
      <w:pPr>
        <w:pStyle w:val="PAGParagraphNormal"/>
        <w:rPr>
          <w:lang w:val="en-US"/>
        </w:rPr>
      </w:pPr>
      <w:r>
        <w:rPr>
          <w:lang w:val="en"/>
        </w:rPr>
        <w:t>Los nuevos modelos híbridos enchufables del Panamera se benefician de todas las optimizaciones de la actualización más reciente del modelo. El 4 E-Hybrid y el 4S E-Hybrid incorporan de fábrica el frontal Sport Design anteriormente opcional con llamativas rejillas de toma de aire y grandes aberturas laterales para aire de refrigeración, así como luz de circulación diurna de una sola franja. El frontal completamente remozado del Panamera Turbo S E-Hybrid se diferencia por las luces de circulación diurna Turbo dobles en forma de C y por el mayor tamaño de las tomas de aire laterales. La renovada franja de luces discurre ahora sin solución de continuidad, siguiendo un contorno adaptado sobre la tapa del maletero. La línea incluye opcionalmente grupos ópticos traseros Exclusive Design oscurecidos con animación Coming Home/Leaving Home dinámica, tres nuevas llantas de 20 y 21 pulgadas así como dos nuevos colores de carrocería (Cereza metalizado y Marrón Trufa metalizado).</w:t>
      </w:r>
    </w:p>
    <w:p w14:paraId="737CC0CC" w14:textId="642CA44C" w:rsidR="000B2C1A" w:rsidRPr="00B9564B" w:rsidRDefault="000B2C1A" w:rsidP="000B2C1A">
      <w:pPr>
        <w:pStyle w:val="PAGParagraphNormal"/>
        <w:rPr>
          <w:lang w:val="en-US"/>
        </w:rPr>
      </w:pPr>
      <w:r>
        <w:rPr>
          <w:lang w:val="en"/>
        </w:rPr>
        <w:t>El Porsche Communication Management (PCM), con mayor resolución de pantalla, abarca funciones y servicios digitales adicionales como el sistema de manejo por voz online mejorado Voice Pilot, el servicio Risk Radar que proporciona información sobre señales de tráfico y peligros y el Apple</w:t>
      </w:r>
      <w:r>
        <w:rPr>
          <w:vertAlign w:val="superscript"/>
          <w:lang w:val="en"/>
        </w:rPr>
        <w:t>®</w:t>
      </w:r>
      <w:r>
        <w:rPr>
          <w:lang w:val="en"/>
        </w:rPr>
        <w:t xml:space="preserve"> CarPlay inalámbrico, entre muchos otros servicios Connect.</w:t>
      </w:r>
    </w:p>
    <w:p w14:paraId="687D776F" w14:textId="16EBBB93" w:rsidR="00570BC6" w:rsidRPr="00B9564B" w:rsidRDefault="000B2C1A" w:rsidP="001E6688">
      <w:pPr>
        <w:pStyle w:val="PAGParagraphNormal"/>
        <w:rPr>
          <w:lang w:val="en-US"/>
        </w:rPr>
      </w:pPr>
      <w:r>
        <w:rPr>
          <w:lang w:val="en"/>
        </w:rPr>
        <w:t xml:space="preserve">Para todos los nuevos modelos Panamera se han retocado —y se han modificado por completo en piezas— los sistemas de tren de rodaje y de regulación para aumentar la deportividad y el confort. Una nueva generación de la regulación de la dirección y nuevos neumáticos aumentan la precisión y mejoran la dinámica transversal. El modelo tope de gama Panamera Turbo S E-Hybrid incorpora de fábrica todos los sistemas de tren de rodaje y de regulación actualmente disponibles como, por ejemplo, la estabilización eléctrica del balanceo Porsche Dynamic Chassis Control Sport (PDCC Sport), incluido el Porsche Torque </w:t>
      </w:r>
      <w:r>
        <w:rPr>
          <w:lang w:val="en"/>
        </w:rPr>
        <w:lastRenderedPageBreak/>
        <w:t>Vectoring Plus (PTV Plus), la dirección del eje trasero con dirección asistida Plus así como el freno de cerámica Porsche Ceramic Composite Brake (PCCB).</w:t>
      </w:r>
    </w:p>
    <w:p w14:paraId="463F9A2F" w14:textId="06D1CE13" w:rsidR="000B2C1A" w:rsidRDefault="000B2C1A" w:rsidP="000B2C1A">
      <w:pPr>
        <w:pStyle w:val="PAGColumn-Title"/>
      </w:pPr>
      <w:bookmarkStart w:id="24" w:name="_Toc57811244"/>
      <w:r>
        <w:rPr>
          <w:bCs w:val="0"/>
          <w:lang w:val="en"/>
        </w:rPr>
        <w:lastRenderedPageBreak/>
        <w:t>Accionamiento y rendimiento</w:t>
      </w:r>
      <w:bookmarkEnd w:id="24"/>
    </w:p>
    <w:p w14:paraId="2EFB44B0" w14:textId="4BA9EB4C" w:rsidR="000B2C1A" w:rsidRPr="00B9564B" w:rsidRDefault="00256D84" w:rsidP="000B2C1A">
      <w:pPr>
        <w:pStyle w:val="PAGHeadline-1-Chapter"/>
        <w:rPr>
          <w:lang w:val="en-US"/>
        </w:rPr>
      </w:pPr>
      <w:bookmarkStart w:id="25" w:name="_Toc57811245"/>
      <w:r>
        <w:rPr>
          <w:lang w:val="en"/>
        </w:rPr>
        <w:t>Un eficiente trío de híbridos con un máximo de 700 CV</w:t>
      </w:r>
      <w:bookmarkEnd w:id="25"/>
    </w:p>
    <w:p w14:paraId="4900BB44" w14:textId="77777777" w:rsidR="000B2C1A" w:rsidRPr="005C4B73" w:rsidRDefault="000B2C1A" w:rsidP="000B2C1A">
      <w:pPr>
        <w:pStyle w:val="PAGParagraphNormal"/>
        <w:rPr>
          <w:lang w:val="en-US"/>
        </w:rPr>
      </w:pPr>
      <w:r>
        <w:rPr>
          <w:lang w:val="en"/>
        </w:rPr>
        <w:t>Los nuevos modelos Panamera E-Hybrid siguen utilizando la arquitectura de propulsión conocida de los modelos anteriores. El elemento central es el motor eléctrico que dispone de una potencia de 100 kW (136 CV) y un par de 400 Nm. En combinación con el respectivo motor de combustión y la estrategia de refuerzo derivada del superdeportivo 918 Spyder se consigue una experiencia de conducción incomparable con grandes prestaciones. El motor eléctrico está integrado en la caja de cambios de doble embrague y ocho velocidades PDK. Todos los modelos híbridos enchufables de Porsche están equipados de serie con el paquete Sport-Chrono.</w:t>
      </w:r>
    </w:p>
    <w:p w14:paraId="7FA2E651" w14:textId="3E0800BC" w:rsidR="000B2C1A" w:rsidRPr="005C4B73" w:rsidRDefault="000B2C1A" w:rsidP="00D97815">
      <w:pPr>
        <w:pStyle w:val="PAGHeadline-2-Section"/>
        <w:rPr>
          <w:lang w:val="en-US"/>
        </w:rPr>
      </w:pPr>
      <w:bookmarkStart w:id="26" w:name="_Toc57811246"/>
      <w:r>
        <w:rPr>
          <w:lang w:val="en"/>
        </w:rPr>
        <w:t>Panamera 4S E-Hybrid</w:t>
      </w:r>
      <w:bookmarkEnd w:id="26"/>
    </w:p>
    <w:p w14:paraId="5410F2CE" w14:textId="152EDC88" w:rsidR="000B2C1A" w:rsidRPr="005C4B73" w:rsidRDefault="000B2C1A" w:rsidP="000B2C1A">
      <w:pPr>
        <w:pStyle w:val="PAGParagraphNormal"/>
        <w:rPr>
          <w:lang w:val="en"/>
        </w:rPr>
      </w:pPr>
      <w:r>
        <w:rPr>
          <w:lang w:val="en"/>
        </w:rPr>
        <w:t>El nuevo Panamera 4S E-Hybrid se incorpora como un modelo completamente nuevo en la gama de híbridos de Porsche. Con una potencia del sistema de 412 kW (560 CV) y un par máximo del sistema de 750 Nm, el tercer modelo E-Hybrid se posiciona entre los conocidos derivados 4 E-Hybrid y Turbo S E-Hybrid que han sido sometidos ahora a una renovación completa. En el 4S E-Hybrid, el motor eléctrico coopera con el motor V6 biturbo de 2,9 litros y 324 kW (440 CV). En combinación con el paquete Sport Chrono de serie, esto se refleja en unas prestaciones impresionantes: La aceleración de 0 a 100 km/h se completa en 3,7 segundos. La velocidad máxima es de 298 km/h.</w:t>
      </w:r>
    </w:p>
    <w:p w14:paraId="5B50091C" w14:textId="77777777" w:rsidR="000B2C1A" w:rsidRPr="005C4B73" w:rsidRDefault="000B2C1A" w:rsidP="00D97815">
      <w:pPr>
        <w:pStyle w:val="PAGHeadline-2-Section"/>
        <w:rPr>
          <w:lang w:val="en"/>
        </w:rPr>
      </w:pPr>
      <w:bookmarkStart w:id="27" w:name="_Toc57811247"/>
      <w:r>
        <w:rPr>
          <w:lang w:val="en"/>
        </w:rPr>
        <w:t>Panamera 4 E-Hybrid</w:t>
      </w:r>
      <w:bookmarkEnd w:id="27"/>
    </w:p>
    <w:p w14:paraId="1F8DC14F" w14:textId="77777777" w:rsidR="000B2C1A" w:rsidRPr="005C4B73" w:rsidRDefault="000B2C1A" w:rsidP="000B2C1A">
      <w:pPr>
        <w:pStyle w:val="PAGParagraphNormal"/>
        <w:rPr>
          <w:lang w:val="en-US"/>
        </w:rPr>
      </w:pPr>
      <w:r>
        <w:rPr>
          <w:lang w:val="en"/>
        </w:rPr>
        <w:t>Con una potencia del sistema de 340 kW (462 CV), el Panamera 4 E-Hybrid representa el modelo de iniciación en el mundo de los híbridos de la serie de modelos. El motor eléctrico coopera con un motor V6 biturbo de 2,9 litros y 243 kW (330 CV). Las prestaciones han mejorado en comparación con el modelo anterior: el Panamera 4 E-Hybrid acelera de 0 a 100 km/h en 4,4 segundos (-0,2 s) y alcanza una velocidad máxima de 280 km/h (+2 km/h).</w:t>
      </w:r>
    </w:p>
    <w:p w14:paraId="4392C07D" w14:textId="77777777" w:rsidR="000B2C1A" w:rsidRPr="005C4B73" w:rsidRDefault="000B2C1A" w:rsidP="00D97815">
      <w:pPr>
        <w:pStyle w:val="PAGHeadline-2-Section"/>
        <w:rPr>
          <w:lang w:val="en-US"/>
        </w:rPr>
      </w:pPr>
      <w:bookmarkStart w:id="28" w:name="_Toc57811248"/>
      <w:r>
        <w:rPr>
          <w:lang w:val="en"/>
        </w:rPr>
        <w:t>Panamera Turbo S E-Hybrid</w:t>
      </w:r>
      <w:bookmarkEnd w:id="28"/>
    </w:p>
    <w:p w14:paraId="5139EDFF" w14:textId="75AD091D" w:rsidR="000B2C1A" w:rsidRPr="005C4B73" w:rsidRDefault="000B2C1A" w:rsidP="000B2C1A">
      <w:pPr>
        <w:pStyle w:val="PAGParagraphNormal"/>
        <w:rPr>
          <w:lang w:val="en-US"/>
        </w:rPr>
      </w:pPr>
      <w:r>
        <w:rPr>
          <w:lang w:val="en"/>
        </w:rPr>
        <w:t xml:space="preserve">El modelo más potente de la serie Panamera sigue siendo un híbrido enchufable: la potencia del sistema del Panamera Turbo S E-Hybrid se ha incrementado de los anteriores 500 kW (680 CV) a 515 kW (700 CV). En lugar de los 404 kW (550 CV) del modelo anterior, </w:t>
      </w:r>
      <w:r>
        <w:rPr>
          <w:lang w:val="en"/>
        </w:rPr>
        <w:lastRenderedPageBreak/>
        <w:t>el V8 biturbo de cuatro litros tiene ahora una potencia de 420 kW (571 CV). En una interacción perfecta con el motor eléctrico se alcanza un par máximo del sistema de 870 Nm. La aceleración de 0 a 100 km/h se consigue en 3,2 segundos: 0,2 segundos menos que en el modelo predecesor. La velocidad máxima se sitúa en 315 km/h, lo que supone un incremento de 5 km/h.</w:t>
      </w:r>
    </w:p>
    <w:p w14:paraId="18136383" w14:textId="5E58144C" w:rsidR="000B2C1A" w:rsidRPr="005C4B73" w:rsidRDefault="000B2C1A" w:rsidP="00D97815">
      <w:pPr>
        <w:pStyle w:val="PAGHeadline-2-Section"/>
        <w:rPr>
          <w:lang w:val="en-US"/>
        </w:rPr>
      </w:pPr>
      <w:bookmarkStart w:id="29" w:name="_Toc57811249"/>
      <w:r>
        <w:rPr>
          <w:lang w:val="en"/>
        </w:rPr>
        <w:t>Tecnología enchufable y modos de conducción</w:t>
      </w:r>
      <w:bookmarkEnd w:id="29"/>
    </w:p>
    <w:p w14:paraId="0A238C52" w14:textId="77777777" w:rsidR="000B2C1A" w:rsidRPr="005C4B73" w:rsidRDefault="000B2C1A" w:rsidP="000B2C1A">
      <w:pPr>
        <w:pStyle w:val="PAGParagraphNormal"/>
        <w:rPr>
          <w:lang w:val="en-US"/>
        </w:rPr>
      </w:pPr>
      <w:r>
        <w:rPr>
          <w:lang w:val="en"/>
        </w:rPr>
        <w:t>Todos los nuevos modelos Panamera se benefician de una potente batería de alta tensión y de modos de conducción optimizados. Ahora se ha otorgado aún más prioridad a la carga altamente eficiente durante la marcha, en función del modo de conducción seleccionado: la batería se carga con mayor rapidez. Al mismo tiempo, la recuperación inteligente posibilita un uso todavía más eficiente de la propulsión eléctrica.</w:t>
      </w:r>
    </w:p>
    <w:p w14:paraId="501DA176" w14:textId="42DD226D" w:rsidR="000B2C1A" w:rsidRPr="005C4B73" w:rsidRDefault="000B2C1A" w:rsidP="000B2C1A">
      <w:pPr>
        <w:pStyle w:val="PAGParagraphNormal"/>
        <w:rPr>
          <w:lang w:val="en-US"/>
        </w:rPr>
      </w:pPr>
      <w:r>
        <w:rPr>
          <w:lang w:val="en"/>
        </w:rPr>
        <w:t>El motor eléctrico obtiene su energía de una batería de alta tensión integrada en la zaga del vehículo. A fin de alcanzar una gran autonomía eléctrica e incrementar las reservas para el refuerzo eléctrico, mediante celdas de batería optimizadas se ha aumentado de 14,1 a 17,9 kWh la capacidad bruta de la batería en comparación con los modelos híbridos anteriores. Esto equivale a un incremento de exactamente el 27 por ciento. El espacio constructivo para la batería bajo el piso de carga sigue siendo compacto, de modo que en la berlina deportiva se dispone de un generoso volumen del maletero de 403 a 1242 litros (Sport Turismo: 418 a 1287 litros). La optimización adicional de los modos de conducción ha permitido aumentar la autonomía eléctrica hasta un 30 por cien. El nuevo Panamera Turbo S E-Hybrid es capaz de circular sin emisiones locales hasta 50 km según WLTP EAER City (NEDC: hasta 59 km); por su parte, el 4S E-Hybrid alcanza hasta 54 km según WLTP EAER City (NEDC: hasta 64 km). El nuevo Panamera 4 E-Hybrid circula de manera especialmente eficiente y sostenible; según WLTP EAER City posee una autonomía exclusivamente eléctrica de hasta 56 km (NEDC: hasta 64 km).</w:t>
      </w:r>
    </w:p>
    <w:p w14:paraId="4AEF99DA" w14:textId="77777777" w:rsidR="000B2C1A" w:rsidRPr="005C4B73" w:rsidRDefault="000B2C1A" w:rsidP="00D97815">
      <w:pPr>
        <w:pStyle w:val="PAGHeadline-2-Section"/>
        <w:rPr>
          <w:lang w:val="en-US"/>
        </w:rPr>
      </w:pPr>
      <w:bookmarkStart w:id="30" w:name="_Toc57811250"/>
      <w:r>
        <w:rPr>
          <w:lang w:val="en"/>
        </w:rPr>
        <w:t>Modos optimizados para la experiencia de conducción eléctrica</w:t>
      </w:r>
      <w:bookmarkEnd w:id="30"/>
    </w:p>
    <w:p w14:paraId="421C245D" w14:textId="77777777" w:rsidR="000B2C1A" w:rsidRPr="005C4B73" w:rsidRDefault="000B2C1A" w:rsidP="000B2C1A">
      <w:pPr>
        <w:pStyle w:val="PAGParagraphNormal"/>
        <w:rPr>
          <w:lang w:val="en-US"/>
        </w:rPr>
      </w:pPr>
      <w:r>
        <w:rPr>
          <w:lang w:val="en"/>
        </w:rPr>
        <w:t>Mediante el selector de modo del paquete Sport Chrono de serie se pueden seleccionar los cuatro modos E-Power, Hybrid Auto, Sport y Sport Plus. Además, se pueden seleccionar los dos modos E-Hold y E-Charge, los cuales se activan a través del Porsche Communication Management (PCM).</w:t>
      </w:r>
    </w:p>
    <w:p w14:paraId="78BE10A8" w14:textId="77777777" w:rsidR="000B2C1A" w:rsidRPr="005C4B73" w:rsidRDefault="000B2C1A" w:rsidP="000B2C1A">
      <w:pPr>
        <w:pStyle w:val="PAGParagraphNormal"/>
        <w:rPr>
          <w:lang w:val="en-US"/>
        </w:rPr>
      </w:pPr>
      <w:r>
        <w:rPr>
          <w:lang w:val="en"/>
        </w:rPr>
        <w:lastRenderedPageBreak/>
        <w:t xml:space="preserve">A fin de mejorar aún más la experiencia de conducción exclusivamente eléctrica, se han mejorado los modos en los que se carga la batería de alta tensión durante la marcha. </w:t>
      </w:r>
      <w:r w:rsidRPr="005C4B73">
        <w:t xml:space="preserve">Los nuevos modelos Panamera E-Hybrid arrancan de forma predeterminada en el modo E-Power. </w:t>
      </w:r>
      <w:r>
        <w:rPr>
          <w:lang w:val="en"/>
        </w:rPr>
        <w:t>Como en los modelos anteriores, la dosificación óptima de la interacción entre el motor eléctrico y el motor de combustión se controla mediante el pedal del acelerador. El asistente híbrido accesible en la pantalla izquierda del cuadro de instrumentos muestra en tiempo real la proporción entre el par de transmisión actualmente solicitado y el máximo disponible. El par de transmisión máximo disponible del motor eléctrico se alcanza con un ángulo del pedal del acelerador de aproximadamente el 50 por ciento. La activación del motor de combustión en el modo E-Power no se produce hasta alcanzarse un ángulo del pedal de aproximadamente el 60 por ciento. El recorrido en vacío perceptible entre el 50 y el 60 por ciento del ángulo del pedal del acelerador permite dosificar de forma óptima la conducción eléctrica. En caso de que el nivel de carga de la batería de alta tensión descienda por debajo del necesario para el modo E-Power, el sistema cambia automáticamente al modo Hybrid Auto.</w:t>
      </w:r>
    </w:p>
    <w:p w14:paraId="2F17964A" w14:textId="77777777" w:rsidR="000B2C1A" w:rsidRPr="005C4B73" w:rsidRDefault="000B2C1A" w:rsidP="000B2C1A">
      <w:pPr>
        <w:pStyle w:val="PAGParagraphNormal"/>
        <w:rPr>
          <w:lang w:val="en-US"/>
        </w:rPr>
      </w:pPr>
      <w:r>
        <w:rPr>
          <w:lang w:val="en"/>
        </w:rPr>
        <w:t>El modo Hybrid Auto inteligente posibilita el funcionamiento más eficiente en la conducción tanto urbana como interurbana. A fin de lograr la mejor combinación posible de motor eléctrico y motor de combustión, se calcula continuamente la estrategia de funcionamiento óptima a partir de información sobre el perfil de conducción, el nivel de carga, la topología, la velocidad y el destino de navegación. De este modo, se utiliza la propulsión exclusivamente eléctrica en aquellas situaciones que así lo aconsejen en términos de eficiencia global. El modo Hybrid Auto se adapta de forma óptima a los hábitos del conductor. Si está activada la guía al destino, la propulsión eléctrica se utiliza de forma aún más intensiva sobre todo en la ciudad. A su vez, la carga de la batería de alta tensión se incrementa en los tramos en los que está activo el motor de combustión.</w:t>
      </w:r>
    </w:p>
    <w:p w14:paraId="4D086907" w14:textId="0AC3BA6E" w:rsidR="000B2C1A" w:rsidRDefault="000B2C1A" w:rsidP="000B2C1A">
      <w:pPr>
        <w:pStyle w:val="PAGParagraphNormal"/>
      </w:pPr>
      <w:r>
        <w:rPr>
          <w:lang w:val="en"/>
        </w:rPr>
        <w:t xml:space="preserve">Como de costumbre, el modo E-Hold conserva el nivel de carga actual, que estará disponible para la conducción o el refuerzo eléctrico posteriores. En el modo E-Charge, el motor de combustión carga la batería durante la marcha, para lo cual genera una potencia superior a la necesaria en la situación de marcha actual. Gracias a este denominado desplazamiento del punto de carga, el conductor tiene la posibilidad de incrementar proactivamente la autonomía eléctrica. El modo E-Charge de los nuevos modelos híbridos </w:t>
      </w:r>
      <w:r>
        <w:rPr>
          <w:lang w:val="en"/>
        </w:rPr>
        <w:lastRenderedPageBreak/>
        <w:t xml:space="preserve">aplica una estrategia de carga de la batería adaptada. Se ha reducido del anterior 100 al 80 por ciento el nivel de carga máximo de la batería. Esta medida se justifica por el hecho de que —de forma similar a lo que ocurre en la batería de un smartphone— la batería se carga de forma mucho más lenta e ineficiente a partir de un nivel de carga aproximado del 80 por ciento. Además, de este modo se asegura que esté disponible en todo momento el pleno rendimiento de recuperación. Mediante el establecimiento de una potencia de carga constante de 7,2 kW se carga la batería de forma rápida y reproducible. </w:t>
      </w:r>
      <w:r w:rsidRPr="005C4B73">
        <w:t>En definitiva, el modo E-Charge es ahora más eficiente e intenso.</w:t>
      </w:r>
    </w:p>
    <w:p w14:paraId="06043071" w14:textId="195D853B" w:rsidR="00C84E4A" w:rsidRPr="005C4B73" w:rsidRDefault="000B2C1A" w:rsidP="00C84E4A">
      <w:pPr>
        <w:pStyle w:val="PAGParagraphNormal"/>
        <w:rPr>
          <w:lang w:val="en-US"/>
        </w:rPr>
      </w:pPr>
      <w:r>
        <w:rPr>
          <w:lang w:val="en"/>
        </w:rPr>
        <w:t>En los dos modos orientados a las prestaciones Sport y Sport Plus, el motor de combustión está siempre en funcionamiento. El modo Sport proporciona una curva característica del vehículo muy deportiva para trayectos a gran velocidad por carretera y autopista, para lo cual se pasa al ajuste deportivo de la propulsión y del tren de rodaje. La batería se carga hasta un nivel mínimo a fin de poder ofrecer las posibilidades de refuerzo suficientes para un estilo de conducción deportivo. En todos los modelos Porsche, la prioridad en el modo Sport Plus reside en la máxima deportividad, para lo cual se ajustan la propulsión y el tren de rodaje para alcanzar un rendimiento elevado. En los modelos Panamera híbridos, el modo Sport Plus se diferencia del modo Sport, además, por el hecho de que la batería se carga con la mayor rapidez posible hasta el 80 por ciento. Esto se hace con una potencia de carga elevada y constante de 12 kW.</w:t>
      </w:r>
    </w:p>
    <w:p w14:paraId="7D7C5E39" w14:textId="77777777" w:rsidR="00C84E4A" w:rsidRPr="005C4B73" w:rsidRDefault="00C84E4A">
      <w:pPr>
        <w:suppressAutoHyphens w:val="0"/>
        <w:rPr>
          <w:rFonts w:ascii="Arial" w:hAnsi="Arial" w:cs="Arial"/>
          <w:lang w:val="en-US"/>
        </w:rPr>
      </w:pPr>
      <w:r>
        <w:rPr>
          <w:lang w:val="en"/>
        </w:rPr>
        <w:br w:type="page"/>
      </w:r>
    </w:p>
    <w:p w14:paraId="18620DEE" w14:textId="397969CE" w:rsidR="005E1F80" w:rsidRPr="00C84E4A" w:rsidRDefault="005E1F80" w:rsidP="00D97815">
      <w:pPr>
        <w:pStyle w:val="PAGColumn-Title"/>
      </w:pPr>
      <w:bookmarkStart w:id="31" w:name="_Hlk54943429"/>
      <w:bookmarkStart w:id="32" w:name="_Toc57811251"/>
      <w:r>
        <w:rPr>
          <w:bCs w:val="0"/>
          <w:lang w:val="en"/>
        </w:rPr>
        <w:lastRenderedPageBreak/>
        <w:t>Chasis y sistemas de chasis</w:t>
      </w:r>
      <w:bookmarkEnd w:id="32"/>
    </w:p>
    <w:p w14:paraId="2A985494" w14:textId="741FF54E" w:rsidR="00CE1508" w:rsidRPr="005C4B73" w:rsidRDefault="00256D84" w:rsidP="00CE1508">
      <w:pPr>
        <w:pStyle w:val="PAGHeadline-1-Chapter"/>
        <w:rPr>
          <w:rFonts w:ascii="Calibri Light" w:hAnsi="Calibri Light" w:cs="Mangal"/>
          <w:lang w:val="en-US"/>
        </w:rPr>
      </w:pPr>
      <w:bookmarkStart w:id="33" w:name="_Toc57811252"/>
      <w:bookmarkEnd w:id="31"/>
      <w:r>
        <w:rPr>
          <w:lang w:val="en"/>
        </w:rPr>
        <w:t>Rango más amplio entre el carácter deportivo y el confort</w:t>
      </w:r>
      <w:bookmarkEnd w:id="33"/>
    </w:p>
    <w:p w14:paraId="2468F9FE" w14:textId="58834662" w:rsidR="00C84E4A" w:rsidRPr="005C4B73" w:rsidRDefault="00C84E4A" w:rsidP="00C84E4A">
      <w:pPr>
        <w:pStyle w:val="PAGParagraphNormal"/>
        <w:rPr>
          <w:lang w:val="en-US"/>
        </w:rPr>
      </w:pPr>
      <w:r>
        <w:rPr>
          <w:lang w:val="en"/>
        </w:rPr>
        <w:t>En el nuevo Panamera, el confort de conducción y la estabilidad en curvas se benefician en igual medida del perfeccionamiento de componentes del chasis y sistemas de regulación. Por ejemplo, la aplicación optimizada de la regulación adaptativa de los amortiguadores Porsche Active Suspension Management (PASM) mejora sensiblemente el confort de amortiguación. La regulación de la estabilización del balanceo Porsche Dynamic Chassis Control Sport (PDCC Sport) con sistema de 48 voltios proporciona ahora aún más estabilidad de la carrocería, además de mejorar la adherencia y la tracción. La nueva generación de la regulación de la dirección con una aplicación derivada de los modelos 911 Carrera y Taycan mejora la sensación de dirección e intensifica la respuesta al conductor, permitiendo así una conducción aún más precisa y directa. De este modo, pese al aumento significativo del confort de conducción, el nuevo Panamera marca una vez más la pauta en cuanto a prestaciones en el segmento.</w:t>
      </w:r>
    </w:p>
    <w:p w14:paraId="542A33D0" w14:textId="77777777" w:rsidR="00C84E4A" w:rsidRPr="005C4B73" w:rsidRDefault="00C84E4A" w:rsidP="00D97815">
      <w:pPr>
        <w:pStyle w:val="PAGHeadline-2-Section"/>
        <w:rPr>
          <w:lang w:val="en-US"/>
        </w:rPr>
      </w:pPr>
      <w:bookmarkStart w:id="34" w:name="_Toc57811253"/>
      <w:r>
        <w:rPr>
          <w:lang w:val="en"/>
        </w:rPr>
        <w:t>Nuevos neumáticos y diseños de llantas</w:t>
      </w:r>
      <w:bookmarkEnd w:id="34"/>
    </w:p>
    <w:p w14:paraId="1C90D9D6" w14:textId="4D83FA9E" w:rsidR="00C84E4A" w:rsidRPr="005C4B73" w:rsidRDefault="00C84E4A" w:rsidP="00C84E4A">
      <w:pPr>
        <w:pStyle w:val="PAGParagraphNormal"/>
        <w:rPr>
          <w:lang w:val="en"/>
        </w:rPr>
      </w:pPr>
      <w:r>
        <w:rPr>
          <w:lang w:val="en"/>
        </w:rPr>
        <w:t>Dado que los neumáticos influyen en gran medida sobre el comportamiento de marcha, se les otorga gran importancia en el desarrollo de chasis de Porsche. Los nuevos modelos Panamera están equipados con una generación de neumáticos mejorada. Los nuevos neumáticos de verano de 20 y 21 pulgadas amplían aún más el rango entre confort y deportividad, y al mismo tiempo presentan una menor resistencia a la rodadura. Los neumáticos deportivos específicamente desarrollados para el Panamera y ofrecidos por primera vez, con mezcla de goma más blanda y perfil optimizado, mejoran el rendimiento transversal y están especialmente indicados para el trazado deportivo de curvas.</w:t>
      </w:r>
    </w:p>
    <w:p w14:paraId="22577414" w14:textId="77777777" w:rsidR="00C84E4A" w:rsidRPr="005C4B73" w:rsidRDefault="00C84E4A" w:rsidP="00C84E4A">
      <w:pPr>
        <w:pStyle w:val="PAGParagraphNormal"/>
        <w:rPr>
          <w:lang w:val="en-US"/>
        </w:rPr>
      </w:pPr>
      <w:r>
        <w:rPr>
          <w:lang w:val="en"/>
        </w:rPr>
        <w:t>Con la nueva llanta de 20 pulgadas y dos nuevas llantas de 21 pulgadas, actualmente están disponibles un total de diez diseños de llanta. Entre estas se cuentan también las llantas de aleación ligera de 21 pulgadas en diseño Exclusive con zonas torneadas brillantes, discos de llanta pintados y tapacubos con emblemas de Porsche en color. Además, se utilizan volantes multifuncionales de última generación cuyos elementos de discontinuidad visual recuerdan a los volantes de construcción ligera habituales en la competición.</w:t>
      </w:r>
    </w:p>
    <w:p w14:paraId="5F4A768E" w14:textId="77777777" w:rsidR="00C84E4A" w:rsidRPr="005C4B73" w:rsidRDefault="00C84E4A" w:rsidP="00D97815">
      <w:pPr>
        <w:pStyle w:val="PAGHeadline-2-Section"/>
        <w:rPr>
          <w:lang w:val="en-US"/>
        </w:rPr>
      </w:pPr>
      <w:bookmarkStart w:id="35" w:name="_Toc57811254"/>
      <w:r>
        <w:rPr>
          <w:lang w:val="en"/>
        </w:rPr>
        <w:lastRenderedPageBreak/>
        <w:t>Amplificador de fuerza de frenado electromecánico optimizado</w:t>
      </w:r>
      <w:bookmarkEnd w:id="35"/>
    </w:p>
    <w:p w14:paraId="4A670C76" w14:textId="2B332839" w:rsidR="00C84E4A" w:rsidRDefault="00C84E4A" w:rsidP="00C84E4A">
      <w:pPr>
        <w:pStyle w:val="PAGParagraphNormal"/>
      </w:pPr>
      <w:r>
        <w:rPr>
          <w:lang w:val="en"/>
        </w:rPr>
        <w:t xml:space="preserve">En función de su respectiva clase de potencia, todos los modelos Panamera disponen de unos frenos potentes y ampliamente dimensionados. El nuevo Panamera Turbo S E-Hybrid está equipado de serie con el freno Porsche Ceramic Composite Brake (PCCB), de eficacia acreditada en circuitos de competición. </w:t>
      </w:r>
      <w:r w:rsidRPr="005C4B73">
        <w:t>Los discos de freno tienen un diámetro de 420 milímetros en el eje delantero y de hasta 410 milímetros en el eje trasero.</w:t>
      </w:r>
    </w:p>
    <w:p w14:paraId="706D42D6" w14:textId="1B048FA8" w:rsidR="00886430" w:rsidRPr="005C4B73" w:rsidRDefault="00C84E4A" w:rsidP="00C84E4A">
      <w:pPr>
        <w:pStyle w:val="PAGParagraphNormal"/>
        <w:rPr>
          <w:lang w:val="en-US"/>
        </w:rPr>
      </w:pPr>
      <w:r>
        <w:rPr>
          <w:lang w:val="en"/>
        </w:rPr>
        <w:t>El amplificador de fuerza de frenado electromecánico (eBKV) proporciona, en los modelos Panamera híbridos, una combinación variable de deceleración de recuperación eléctrica y deceleración de frenado mecánica, manteniendo las mismas características del pedal de freno. La sensibilidad del pedal ha sido optimizada adicionalmente, mejorando la respuesta y la capacidad de dosificación.</w:t>
      </w:r>
    </w:p>
    <w:p w14:paraId="1907D455" w14:textId="77777777" w:rsidR="00886430" w:rsidRPr="005C4B73" w:rsidRDefault="00886430">
      <w:pPr>
        <w:suppressAutoHyphens w:val="0"/>
        <w:rPr>
          <w:rFonts w:ascii="Arial" w:hAnsi="Arial" w:cs="Arial"/>
          <w:lang w:val="en-US"/>
        </w:rPr>
      </w:pPr>
      <w:r>
        <w:rPr>
          <w:lang w:val="en"/>
        </w:rPr>
        <w:br w:type="page"/>
      </w:r>
    </w:p>
    <w:p w14:paraId="1C04C6E5" w14:textId="388FFEFB" w:rsidR="00C84E4A" w:rsidRDefault="00C84E4A" w:rsidP="00D97815">
      <w:pPr>
        <w:pStyle w:val="PAGColumn-Title"/>
      </w:pPr>
      <w:bookmarkStart w:id="36" w:name="_Toc57811255"/>
      <w:r>
        <w:rPr>
          <w:bCs w:val="0"/>
          <w:lang w:val="en"/>
        </w:rPr>
        <w:lastRenderedPageBreak/>
        <w:t>Conectividad e infotainment</w:t>
      </w:r>
      <w:bookmarkEnd w:id="36"/>
    </w:p>
    <w:p w14:paraId="35422E1A" w14:textId="50BFD3B3" w:rsidR="00C84E4A" w:rsidRPr="007169C4" w:rsidRDefault="00256D84" w:rsidP="00C84E4A">
      <w:pPr>
        <w:pStyle w:val="PAGHeadline-1-Chapter"/>
        <w:rPr>
          <w:rFonts w:ascii="Calibri Light" w:hAnsi="Calibri Light" w:cs="Mangal"/>
        </w:rPr>
      </w:pPr>
      <w:bookmarkStart w:id="37" w:name="_Toc57811256"/>
      <w:r>
        <w:rPr>
          <w:lang w:val="en"/>
        </w:rPr>
        <w:t>Interconexión mejorada</w:t>
      </w:r>
      <w:bookmarkEnd w:id="37"/>
    </w:p>
    <w:p w14:paraId="0C07F4E4" w14:textId="3654B59E" w:rsidR="00C84E4A" w:rsidRPr="005C4B73" w:rsidRDefault="00C84E4A" w:rsidP="00C84E4A">
      <w:pPr>
        <w:pStyle w:val="PAGParagraphNormal"/>
        <w:rPr>
          <w:lang w:val="en-US"/>
        </w:rPr>
      </w:pPr>
      <w:r>
        <w:rPr>
          <w:lang w:val="en"/>
        </w:rPr>
        <w:t>El Porsche Communication Management (PCM) abarca nuevas funciones y servicios digitales como, por ejemplo, el sistema de manejo por voz online mejorado Voice Pilot, el servicio Risk Radar, la radio Plus o el Apple</w:t>
      </w:r>
      <w:r>
        <w:rPr>
          <w:vertAlign w:val="superscript"/>
          <w:lang w:val="en"/>
        </w:rPr>
        <w:t>®</w:t>
      </w:r>
      <w:r>
        <w:rPr>
          <w:lang w:val="en"/>
        </w:rPr>
        <w:t xml:space="preserve"> CarPlay inalámbrico. Además, se ha actualizado y ampliado la oferta de servicios Porsche Connect. En combinación con la conexión online de serie, el nuevo Panamera subraya así su estatus excepcional en el segmento de vehículos.</w:t>
      </w:r>
    </w:p>
    <w:p w14:paraId="6F095035" w14:textId="77777777" w:rsidR="00C84E4A" w:rsidRPr="005C4B73" w:rsidRDefault="00C84E4A" w:rsidP="00D97815">
      <w:pPr>
        <w:pStyle w:val="PAGHeadline-2-Section"/>
        <w:rPr>
          <w:lang w:val="en-US"/>
        </w:rPr>
      </w:pPr>
      <w:bookmarkStart w:id="38" w:name="_Toc57811257"/>
      <w:r>
        <w:rPr>
          <w:lang w:val="en"/>
        </w:rPr>
        <w:t>Connect Plus</w:t>
      </w:r>
      <w:bookmarkEnd w:id="38"/>
    </w:p>
    <w:p w14:paraId="4AACFB59" w14:textId="77777777" w:rsidR="00C84E4A" w:rsidRPr="005C4B73" w:rsidRDefault="00C84E4A" w:rsidP="00C84E4A">
      <w:pPr>
        <w:pStyle w:val="PAGParagraphNormal"/>
        <w:rPr>
          <w:lang w:val="en-US"/>
        </w:rPr>
      </w:pPr>
      <w:r>
        <w:rPr>
          <w:lang w:val="en"/>
        </w:rPr>
        <w:t>El módulo Connect Plus del nuevo Panamera amplía el sistema de infotainment y conectividad con los siguientes elementos:</w:t>
      </w:r>
    </w:p>
    <w:p w14:paraId="693372A6" w14:textId="57448498" w:rsidR="00C84E4A" w:rsidRPr="005C4B73" w:rsidRDefault="00C84E4A" w:rsidP="00AA782C">
      <w:pPr>
        <w:pStyle w:val="PAGParagraphNormal"/>
        <w:numPr>
          <w:ilvl w:val="1"/>
          <w:numId w:val="3"/>
        </w:numPr>
        <w:jc w:val="left"/>
        <w:rPr>
          <w:lang w:val="en-US"/>
        </w:rPr>
      </w:pPr>
      <w:r>
        <w:rPr>
          <w:lang w:val="en"/>
        </w:rPr>
        <w:t xml:space="preserve">módulo de comunicación LTE con lector de tarjetas SIM y tarjeta SIM integrada compatible con LTE </w:t>
      </w:r>
    </w:p>
    <w:p w14:paraId="75C24B07" w14:textId="39D3DD49" w:rsidR="00C84E4A" w:rsidRPr="00256D84" w:rsidRDefault="00C84E4A" w:rsidP="00AA782C">
      <w:pPr>
        <w:pStyle w:val="PAGParagraphNormal"/>
        <w:numPr>
          <w:ilvl w:val="1"/>
          <w:numId w:val="3"/>
        </w:numPr>
        <w:jc w:val="left"/>
      </w:pPr>
      <w:r>
        <w:rPr>
          <w:lang w:val="en"/>
        </w:rPr>
        <w:t>Aplicación Porsche Connect</w:t>
      </w:r>
    </w:p>
    <w:p w14:paraId="39C54DFE" w14:textId="0FDD0008" w:rsidR="00C84E4A" w:rsidRPr="00256D84" w:rsidRDefault="00C84E4A" w:rsidP="00AA782C">
      <w:pPr>
        <w:pStyle w:val="PAGParagraphNormal"/>
        <w:numPr>
          <w:ilvl w:val="1"/>
          <w:numId w:val="3"/>
        </w:numPr>
        <w:jc w:val="left"/>
      </w:pPr>
      <w:r>
        <w:rPr>
          <w:lang w:val="en"/>
        </w:rPr>
        <w:t>Aplicación Porsche Car Connect</w:t>
      </w:r>
    </w:p>
    <w:p w14:paraId="614DEC41" w14:textId="243FE1DE" w:rsidR="00C84E4A" w:rsidRPr="005C4B73" w:rsidRDefault="00C84E4A" w:rsidP="00AA782C">
      <w:pPr>
        <w:pStyle w:val="PAGParagraphNormal"/>
        <w:numPr>
          <w:ilvl w:val="1"/>
          <w:numId w:val="3"/>
        </w:numPr>
        <w:jc w:val="left"/>
        <w:rPr>
          <w:lang w:val="en-US"/>
        </w:rPr>
      </w:pPr>
      <w:r>
        <w:rPr>
          <w:lang w:val="en"/>
        </w:rPr>
        <w:t xml:space="preserve">Paquetes de servicios: Paquete de navegación e infotainment, seguridad, vigilancia y funciones remotas </w:t>
      </w:r>
    </w:p>
    <w:p w14:paraId="056D516F" w14:textId="1C60F452" w:rsidR="00C84E4A" w:rsidRPr="00256D84" w:rsidRDefault="00C84E4A" w:rsidP="00AA782C">
      <w:pPr>
        <w:pStyle w:val="PAGParagraphNormal"/>
        <w:numPr>
          <w:ilvl w:val="1"/>
          <w:numId w:val="3"/>
        </w:numPr>
        <w:jc w:val="left"/>
      </w:pPr>
      <w:r>
        <w:rPr>
          <w:lang w:val="en"/>
        </w:rPr>
        <w:t xml:space="preserve">Paquetes de datos </w:t>
      </w:r>
    </w:p>
    <w:p w14:paraId="4DD9BE4E" w14:textId="4E89A815" w:rsidR="00C84E4A" w:rsidRPr="00256D84" w:rsidRDefault="00C84E4A" w:rsidP="00AA782C">
      <w:pPr>
        <w:pStyle w:val="PAGParagraphNormal"/>
        <w:numPr>
          <w:ilvl w:val="1"/>
          <w:numId w:val="3"/>
        </w:numPr>
        <w:jc w:val="left"/>
      </w:pPr>
      <w:r>
        <w:rPr>
          <w:lang w:val="en"/>
        </w:rPr>
        <w:t>Servicio de asistente personal (solo en China)</w:t>
      </w:r>
    </w:p>
    <w:p w14:paraId="35668BE8" w14:textId="5E3378FE" w:rsidR="00C84E4A" w:rsidRPr="005C4B73" w:rsidRDefault="00C84E4A" w:rsidP="00C84E4A">
      <w:pPr>
        <w:pStyle w:val="PAGParagraphNormal"/>
        <w:rPr>
          <w:lang w:val="en-US"/>
        </w:rPr>
      </w:pPr>
      <w:r>
        <w:rPr>
          <w:lang w:val="en"/>
        </w:rPr>
        <w:t xml:space="preserve">El módulo de comunicación LTE con lector de tarjetas SIM integrado en el módulo Connect Plus garantiza una calidad de voz y una conexión de datos óptimas. Para la utilización de - servicios Porsche Connect seleccionados está disponible una tarjeta SIM compatible con LTE integrada en el vehículo. Así pues, ya no es necesario que el cliente utilice su propia tarjeta SIM. No obstante, mediante el lector de tarjetas SIM integrado también se puede utilizar opcionalmente para la transmisión de datos la tarjeta SIM externa del cliente. Si el </w:t>
      </w:r>
      <w:r>
        <w:rPr>
          <w:lang w:val="en"/>
        </w:rPr>
        <w:lastRenderedPageBreak/>
        <w:t>cliente utiliza su propia tarjeta SIM además para la telefonía, esta posibilita una calidad de voz optimizada gracias al uso de la antena exterior.</w:t>
      </w:r>
    </w:p>
    <w:p w14:paraId="757C2DC7" w14:textId="77777777" w:rsidR="00C84E4A" w:rsidRPr="005C4B73" w:rsidRDefault="00C84E4A" w:rsidP="000428D0">
      <w:pPr>
        <w:pStyle w:val="PAGHeadline-2-Section"/>
        <w:rPr>
          <w:lang w:val="en-US"/>
        </w:rPr>
      </w:pPr>
      <w:bookmarkStart w:id="39" w:name="_Toc57811258"/>
      <w:r>
        <w:rPr>
          <w:lang w:val="en"/>
        </w:rPr>
        <w:t>Apple</w:t>
      </w:r>
      <w:r>
        <w:rPr>
          <w:vertAlign w:val="superscript"/>
          <w:lang w:val="en"/>
        </w:rPr>
        <w:t>®</w:t>
      </w:r>
      <w:r>
        <w:rPr>
          <w:lang w:val="en"/>
        </w:rPr>
        <w:t xml:space="preserve"> CarPlay</w:t>
      </w:r>
      <w:bookmarkEnd w:id="39"/>
    </w:p>
    <w:p w14:paraId="0735C7E4" w14:textId="4B979FC6" w:rsidR="00C84E4A" w:rsidRPr="005C4B73" w:rsidRDefault="00C84E4A" w:rsidP="00C84E4A">
      <w:pPr>
        <w:pStyle w:val="PAGParagraphNormal"/>
        <w:rPr>
          <w:lang w:val="en-US"/>
        </w:rPr>
      </w:pPr>
      <w:r>
        <w:rPr>
          <w:lang w:val="en"/>
        </w:rPr>
        <w:t>Mediante Apple</w:t>
      </w:r>
      <w:r>
        <w:rPr>
          <w:vertAlign w:val="superscript"/>
          <w:lang w:val="en"/>
        </w:rPr>
        <w:t>®</w:t>
      </w:r>
      <w:r>
        <w:rPr>
          <w:lang w:val="en"/>
        </w:rPr>
        <w:t xml:space="preserve"> CarPlay se pueden utilizar algunas funciones y aplicaciones del iPhone</w:t>
      </w:r>
      <w:r>
        <w:rPr>
          <w:vertAlign w:val="superscript"/>
          <w:lang w:val="en"/>
        </w:rPr>
        <w:t>®</w:t>
      </w:r>
      <w:r>
        <w:rPr>
          <w:lang w:val="en"/>
        </w:rPr>
        <w:t xml:space="preserve"> conectado en el Porsche Communication Management (PCM). Hasta ahora, para usar Apple</w:t>
      </w:r>
      <w:r>
        <w:rPr>
          <w:vertAlign w:val="superscript"/>
          <w:lang w:val="en"/>
        </w:rPr>
        <w:t>®</w:t>
      </w:r>
      <w:r>
        <w:rPr>
          <w:lang w:val="en"/>
        </w:rPr>
        <w:t xml:space="preserve"> CarPlay era necesario conectar el iPhone</w:t>
      </w:r>
      <w:r>
        <w:rPr>
          <w:vertAlign w:val="superscript"/>
          <w:lang w:val="en"/>
        </w:rPr>
        <w:t>®</w:t>
      </w:r>
      <w:r>
        <w:rPr>
          <w:lang w:val="en"/>
        </w:rPr>
        <w:t xml:space="preserve"> a través del puerto USB en la bandeja para smartphone o bien inalámbricamente. En ese caso se puede seleccionar en la pantalla de inicio la opción de menú «CarPlay». Las aplicaciones se pueden manejar cómodamente mediante el reconocimiento de voz Siri</w:t>
      </w:r>
      <w:r>
        <w:rPr>
          <w:vertAlign w:val="superscript"/>
          <w:lang w:val="en"/>
        </w:rPr>
        <w:t>®</w:t>
      </w:r>
      <w:r>
        <w:rPr>
          <w:lang w:val="en"/>
        </w:rPr>
        <w:t>.</w:t>
      </w:r>
    </w:p>
    <w:p w14:paraId="382D982F" w14:textId="34DE0BF8" w:rsidR="00C84E4A" w:rsidRPr="005C4B73" w:rsidRDefault="00C84E4A" w:rsidP="000428D0">
      <w:pPr>
        <w:pStyle w:val="PAGHeadline-2-Section"/>
        <w:rPr>
          <w:lang w:val="en-US"/>
        </w:rPr>
      </w:pPr>
      <w:bookmarkStart w:id="40" w:name="_Toc57811259"/>
      <w:r>
        <w:rPr>
          <w:lang w:val="en"/>
        </w:rPr>
        <w:t>Bandeja para smartphone con función de carga inductiva</w:t>
      </w:r>
      <w:bookmarkEnd w:id="40"/>
    </w:p>
    <w:p w14:paraId="6F35EF57" w14:textId="77777777" w:rsidR="00C84E4A" w:rsidRPr="005C4B73" w:rsidRDefault="00C84E4A" w:rsidP="00C84E4A">
      <w:pPr>
        <w:pStyle w:val="PAGParagraphNormal"/>
        <w:rPr>
          <w:lang w:val="en-US"/>
        </w:rPr>
      </w:pPr>
      <w:r>
        <w:rPr>
          <w:lang w:val="en"/>
        </w:rPr>
        <w:t>La función de carga inductiva de la bandeja para smartphone permite cargar inalámbricamente smartphones con una potencia de carga de cinco vatios. Basta con depositar el smartphone sobre la superficie de carga prevista al efecto para que se inicie el proceso de carga. La función de carga inductiva utiliza el estándar Qi, que garantiza la interoperabilidad durante la transmisión inalámbrica de energía. Esto permite utilizar smartphones de distintos fabricantes, siempre y cuando también sean compatibles con la función de carga inductiva.</w:t>
      </w:r>
    </w:p>
    <w:p w14:paraId="56C0A6B7" w14:textId="143CE359" w:rsidR="00C84E4A" w:rsidRPr="005C4B73" w:rsidRDefault="00C84E4A" w:rsidP="000428D0">
      <w:pPr>
        <w:pStyle w:val="PAGHeadline-2-Section"/>
        <w:rPr>
          <w:lang w:val="en-US"/>
        </w:rPr>
      </w:pPr>
      <w:bookmarkStart w:id="41" w:name="_Toc57811260"/>
      <w:r>
        <w:rPr>
          <w:lang w:val="en"/>
        </w:rPr>
        <w:t>Servicios Connect con nuevas funciones</w:t>
      </w:r>
      <w:bookmarkEnd w:id="41"/>
    </w:p>
    <w:p w14:paraId="082256EE" w14:textId="7841DA7E" w:rsidR="00C84E4A" w:rsidRPr="005C4B73" w:rsidRDefault="00C84E4A" w:rsidP="00C84E4A">
      <w:pPr>
        <w:pStyle w:val="PAGParagraphNormal"/>
        <w:rPr>
          <w:lang w:val="en-US"/>
        </w:rPr>
      </w:pPr>
      <w:r>
        <w:rPr>
          <w:lang w:val="en"/>
        </w:rPr>
        <w:t>Los servicios Connect incluidos en el módulo Connect Plus amplían considerablemente el abanico de funciones del nuevo Panamera. Gracias a la conexión online están disponibles en todo momento datos actualizados para el cálculo rápido de la ruta, y los datos basados en enjambre permiten compartir entre vehículos información relativa, por ejemplo, a peligros actuales en la ruta seleccionada.</w:t>
      </w:r>
    </w:p>
    <w:p w14:paraId="286DAD79" w14:textId="3C1ED231" w:rsidR="00C84E4A" w:rsidRPr="005C4B73" w:rsidRDefault="00C84E4A" w:rsidP="00C84E4A">
      <w:pPr>
        <w:pStyle w:val="PAGParagraphNormal"/>
        <w:rPr>
          <w:lang w:val="en-US"/>
        </w:rPr>
      </w:pPr>
      <w:r>
        <w:rPr>
          <w:lang w:val="en"/>
        </w:rPr>
        <w:t>Entre los demás servicios y funciones se cuentan la aplicación Porsche Connect, la aplicación Porsche Car Connect, una radio online con cambio automático entre las fuentes FM/DAB/radio online, un manejo por voz mejorado, así como el Finder para la localización rápida de destinos de navegación mediante los servicios Car Connect, funciones remotas y servicios de seguridad y emergencia. El requisito para el uso de los servicios Connect es una conexión online que pueda establecerse mediante una tarjeta SIM compatible con LTE integrada en el vehículo o a través de una tarjeta SIM propia del cliente.</w:t>
      </w:r>
    </w:p>
    <w:p w14:paraId="5470F6BA" w14:textId="77777777" w:rsidR="00C84E4A" w:rsidRPr="005C4B73" w:rsidRDefault="00C84E4A" w:rsidP="000428D0">
      <w:pPr>
        <w:pStyle w:val="PAGHeadline-2-Section"/>
        <w:rPr>
          <w:lang w:val="en-US"/>
        </w:rPr>
      </w:pPr>
      <w:bookmarkStart w:id="42" w:name="_Toc57811261"/>
      <w:r>
        <w:rPr>
          <w:lang w:val="en"/>
        </w:rPr>
        <w:lastRenderedPageBreak/>
        <w:t>Recepción siempre óptima mediante Radio Plus</w:t>
      </w:r>
      <w:bookmarkEnd w:id="42"/>
    </w:p>
    <w:p w14:paraId="409309FB" w14:textId="5A73D94B" w:rsidR="00C84E4A" w:rsidRPr="005C4B73" w:rsidRDefault="00C84E4A" w:rsidP="00C84E4A">
      <w:pPr>
        <w:pStyle w:val="PAGParagraphNormal"/>
        <w:rPr>
          <w:lang w:val="en-US"/>
        </w:rPr>
      </w:pPr>
      <w:r>
        <w:rPr>
          <w:lang w:val="en"/>
        </w:rPr>
        <w:t>Una novedad en el Panamera es el servicio «Radio Plus», una combinación de radio por Internet integrada y la función «radio híbrida». Mediante la integración de la radio por Internet en el PCM, el conductor puede ahora acceder a sus emisores favoritas a través de canales online en todo el mundo. Se pueden clasificar las emisoras por popularidad, país, género e idioma. Además, a través de la radio por Internet se pueden emitir podcasts. En caso de que, debido a las condiciones ambientales, ya no sea posible acceder a la señal terrestre (FM) o a la señal digital (DAB) de una emisora de radio, el PCM del nuevo Panamera puede, mediante la función «radio híbrida», cambiar automáticamente y sin intervención manual al correspondiente canal online de la emisora. Esto permite al conductor continuar escuchando la emisora deseada a través de la conexión online. La disponibilidad de la información sobre emisoras online depende de la información facilitada por la emisora de radio.</w:t>
      </w:r>
    </w:p>
    <w:p w14:paraId="63F2BA4C" w14:textId="77777777" w:rsidR="00C84E4A" w:rsidRPr="005C4B73" w:rsidRDefault="00C84E4A" w:rsidP="000428D0">
      <w:pPr>
        <w:pStyle w:val="PAGHeadline-2-Section"/>
        <w:rPr>
          <w:lang w:val="en-US"/>
        </w:rPr>
      </w:pPr>
      <w:bookmarkStart w:id="43" w:name="_Toc57811262"/>
      <w:r>
        <w:rPr>
          <w:lang w:val="en"/>
        </w:rPr>
        <w:t>Voice Pilot con reconocimiento de voz mejorado</w:t>
      </w:r>
      <w:bookmarkEnd w:id="43"/>
    </w:p>
    <w:p w14:paraId="71E1E6D3" w14:textId="2EF41F47" w:rsidR="00C84E4A" w:rsidRPr="005C4B73" w:rsidRDefault="00C84E4A" w:rsidP="00C84E4A">
      <w:pPr>
        <w:pStyle w:val="PAGParagraphNormal"/>
        <w:rPr>
          <w:lang w:val="en-US"/>
        </w:rPr>
      </w:pPr>
      <w:r>
        <w:rPr>
          <w:lang w:val="en"/>
        </w:rPr>
        <w:t>Mediante el Voice Pilot ya conocido de otras series de modelos, se amplía con una función de asistencia online el control por voz del PCM. En el proceso se ha mejorado aún más la precisión de reconocimiento de la entrada en lenguaje natural para el nuevo Panamera, de modo que se reconocen incluso entradas complejas y se ejecuta la interacción deseada. Gracias a la comprensión inteligente del lenguaje por el Voice Pilot, la comunicación con el vehículo puede tener lugar de forma libre y flexible, sin términos fijos preestablecidos. Así, por ejemplo, la climatización en el nuevo Panamera se puede controlar mediante órdenes verbales como «tengo frío» o «tengo calor». Mediante la comunicación online del sistema, el reconocimiento de voz está siempre actualizado y garantiza la interacción con el conductor empleando un lenguaje natural. Al mismo tiempo, optimiza la reproducción de voz. El Voice Pilot se utiliza en las funciones Online Speech Recognition, Online Text-to-Speech, Dictado, así como en el diálogo por voz para aplicaciones y servicios. Si no existe conexión de datos, el Voice Pilot utilizará como respaldo el control por voz (sin conexión) del PCM.</w:t>
      </w:r>
    </w:p>
    <w:p w14:paraId="61E66334" w14:textId="15957597" w:rsidR="00C84E4A" w:rsidRPr="005C4B73" w:rsidRDefault="00C84E4A" w:rsidP="000428D0">
      <w:pPr>
        <w:pStyle w:val="PAGHeadline-2-Section"/>
        <w:rPr>
          <w:lang w:val="en-US"/>
        </w:rPr>
      </w:pPr>
      <w:bookmarkStart w:id="44" w:name="_Toc57811263"/>
      <w:r>
        <w:rPr>
          <w:lang w:val="en"/>
        </w:rPr>
        <w:t>Navegación: con o sin conexión, siempre por buen camino</w:t>
      </w:r>
      <w:bookmarkEnd w:id="44"/>
    </w:p>
    <w:p w14:paraId="5E789FDA" w14:textId="686D1BF8" w:rsidR="00C84E4A" w:rsidRPr="005C4B73" w:rsidRDefault="00C84E4A" w:rsidP="00C84E4A">
      <w:pPr>
        <w:pStyle w:val="PAGParagraphNormal"/>
        <w:rPr>
          <w:lang w:val="en"/>
        </w:rPr>
      </w:pPr>
      <w:r>
        <w:rPr>
          <w:lang w:val="en"/>
        </w:rPr>
        <w:t xml:space="preserve">El cálculo de rutas de la navegación en los nuevos modelos Panamera tiene lugar en paralelo tanto online como en el PCM. Esto permite al conductor beneficiarse de lo mejor </w:t>
      </w:r>
      <w:r>
        <w:rPr>
          <w:lang w:val="en"/>
        </w:rPr>
        <w:lastRenderedPageBreak/>
        <w:t>de ambos mundos: la navegación online brinda la ventaja de que se pueden tener en cuenta todos los boletines de tráfico a lo largo de todo el trayecto y es posible recurrir a material cartográfico actualizado. En cambio, la navegación del PCM está siempre disponible con independencia de la conexión online. El PCM decide automáticamente qué navegación ha calculado la ruta óptima, pero siempre empieza con el resultado que se haya calculado más rápidamente. Los destinos se pueden establecer cómodamente antes de emprender el trayecto, no solo en el PCM, sino también mediante la aplicación Porsche Connect o My Porsche. Los destinos se sincronizan mediante la identificación con la ID de Porsche. La información de los datos de tráfico en tiempo real ayuda a proporcionar una guía de ruta considerablemente más dinámica. Mediante esta información se marcan las carreteras en verde, amarillo o rojo en la vista de mapas según la situación del tráfico. El símbolo para la conexión online en la barra de estado indica en todo momento al conductor si hay disponibles datos de tráfico en tiempo real. Además de la representación de mapas bidimensional normal o en perspectiva, también se pueden utilizar datos de satélite para mostrar imágenes aéreas de edificios, calles y recintos. Si está disponible en la ubicación, tras introducir la búsqueda mediante el Finder, en la lista detallada en el borde derecho de la pantalla del PCM se ofrece adicionalmente una vista panorámica que permite al conductor formarse una impresión de la zona de destino.</w:t>
      </w:r>
    </w:p>
    <w:p w14:paraId="5499567F" w14:textId="4144A054" w:rsidR="00C84E4A" w:rsidRPr="005C4B73" w:rsidRDefault="00C84E4A" w:rsidP="00C84E4A">
      <w:pPr>
        <w:pStyle w:val="PAGParagraphNormal"/>
        <w:rPr>
          <w:lang w:val="en-US"/>
        </w:rPr>
      </w:pPr>
      <w:r>
        <w:rPr>
          <w:lang w:val="en"/>
        </w:rPr>
        <w:t>Mediante la función «Rutas personales», el PCM puede aprender de trayectos recorridos con frecuencia (como mínimo tres veces) y presenta al conductor propuestas para la navegación. Esta navegación predictiva amplía la función con información en caso de que existan boletines de tráfico sobre las rutas en cuestión. Por medio de actualizaciones online, el material cartográfico para la navegación se mantiene siempre actualizado. A fin de reducir el volumen de datos necesario, solo se descargan los cambios relevantes, de modo que no es necesario volver a descargar mapas de navegación actuales existentes.</w:t>
      </w:r>
    </w:p>
    <w:p w14:paraId="7B2995D6" w14:textId="77777777" w:rsidR="00C84E4A" w:rsidRPr="005C4B73" w:rsidRDefault="00C84E4A" w:rsidP="00C84E4A">
      <w:pPr>
        <w:pStyle w:val="PAGParagraphNormal"/>
        <w:rPr>
          <w:lang w:val="en"/>
        </w:rPr>
      </w:pPr>
      <w:r>
        <w:rPr>
          <w:lang w:val="en"/>
        </w:rPr>
        <w:t>La interconexión de vehículos permite al nuevo Panamera acceder a información de otros vehículos compartida de forma anonimizada, los denominados datos de enjambre. Igual que ocurre con los datos de tráfico en tiempo real, la información de identificación de señales de tráfico se utiliza para optimizar el sistema. Además, basándose en los datos existentes, el vehículo advierte sobre puntos de peligro locales y aumenta así la seguridad.</w:t>
      </w:r>
    </w:p>
    <w:p w14:paraId="3A561B56" w14:textId="271FE385" w:rsidR="00C84E4A" w:rsidRPr="005C4B73" w:rsidRDefault="00C84E4A" w:rsidP="00C84E4A">
      <w:pPr>
        <w:pStyle w:val="PAGParagraphNormal"/>
        <w:rPr>
          <w:lang w:val="en-US"/>
        </w:rPr>
      </w:pPr>
      <w:r>
        <w:rPr>
          <w:lang w:val="en"/>
        </w:rPr>
        <w:lastRenderedPageBreak/>
        <w:t>El Finder es la función central de búsqueda de la navegación y está accesible en todo momento mediante un símbolo de búsqueda en la parte superior de la pantalla del PCM. Las consultas de búsqueda se pueden introducir directamente en el menú de navegación mediante la pantalla táctil Full-HD o alternativamente mediante voz. Si existe conexión online se facilita toda la información a través de Internet para asegurar que esté lo más actualizada posible. El usuario puede escoger entre la búsqueda online del PCM y una búsqueda en Google</w:t>
      </w:r>
      <w:r>
        <w:rPr>
          <w:vertAlign w:val="superscript"/>
          <w:lang w:val="en"/>
        </w:rPr>
        <w:t>®</w:t>
      </w:r>
      <w:r>
        <w:rPr>
          <w:lang w:val="en"/>
        </w:rPr>
        <w:t xml:space="preserve">. A los destinos especiales «Gasolineras» y «Parques» se han añadido «Restaurantes», «Estaciones de carga» y «Hoteles». Además de información detallada, por ejemplo relativa a horarios de apertura y precios, en el PCM se muestran también valoraciones de los destinos especiales. </w:t>
      </w:r>
    </w:p>
    <w:p w14:paraId="4AEAA8D3" w14:textId="77777777" w:rsidR="00C84E4A" w:rsidRPr="005C4B73" w:rsidRDefault="00C84E4A" w:rsidP="00C84E4A">
      <w:pPr>
        <w:pStyle w:val="PAGParagraphNormal"/>
        <w:rPr>
          <w:lang w:val="en-US"/>
        </w:rPr>
      </w:pPr>
      <w:r>
        <w:rPr>
          <w:lang w:val="en"/>
        </w:rPr>
        <w:t>Los destinos especiales se pueden buscar cerca de la ubicación, a lo largo de una ruta, en el lugar de destino así como en una dirección cualquiera. La facilidad de uso se ha mejorado también mediante la integración de los destinos especiales en el menú de navegación.</w:t>
      </w:r>
    </w:p>
    <w:p w14:paraId="7E03C06E" w14:textId="77777777" w:rsidR="00C84E4A" w:rsidRPr="005C4B73" w:rsidRDefault="00C84E4A" w:rsidP="000428D0">
      <w:pPr>
        <w:pStyle w:val="PAGHeadline-2-Section"/>
        <w:rPr>
          <w:lang w:val="en-US"/>
        </w:rPr>
      </w:pPr>
      <w:bookmarkStart w:id="45" w:name="_Toc57811264"/>
      <w:r>
        <w:rPr>
          <w:lang w:val="en"/>
        </w:rPr>
        <w:t>Aplicación Car Connect</w:t>
      </w:r>
      <w:bookmarkEnd w:id="45"/>
    </w:p>
    <w:p w14:paraId="740F881D" w14:textId="67A426B9" w:rsidR="000B2C1A" w:rsidRPr="005C4B73" w:rsidRDefault="00C84E4A" w:rsidP="000428D0">
      <w:pPr>
        <w:pStyle w:val="PAGParagraphNormal"/>
        <w:rPr>
          <w:lang w:val="en-US"/>
        </w:rPr>
      </w:pPr>
      <w:r>
        <w:rPr>
          <w:lang w:val="en"/>
        </w:rPr>
        <w:t>La aplicación Porsche Car Connect permite acceder a los servicios Car Connect Services, mediante los cuales se controlan a través de la aplicación funciones seleccionadas del vehículo. Los Security Services ayudan a proteger el vehículo contra el robo y a localizarlo si se diera el caso. La llamada de emergencia en caso de avería y la alarma de airbag aumentan más aún la seguridad.</w:t>
      </w:r>
    </w:p>
    <w:p w14:paraId="6DCC3EA2" w14:textId="77777777" w:rsidR="0073746C" w:rsidRPr="005C4B73" w:rsidRDefault="0073746C" w:rsidP="0073746C">
      <w:pPr>
        <w:pStyle w:val="PAGColumn-Title"/>
        <w:rPr>
          <w:lang w:val="en-US"/>
        </w:rPr>
      </w:pPr>
      <w:bookmarkStart w:id="46" w:name="_Toc56155942"/>
      <w:bookmarkStart w:id="47" w:name="_Toc57811265"/>
      <w:r>
        <w:rPr>
          <w:bCs w:val="0"/>
          <w:lang w:val="en"/>
        </w:rPr>
        <w:lastRenderedPageBreak/>
        <w:t>Electrocombustibles: gasolina a partir del aire, el agua y la electricidad verde</w:t>
      </w:r>
      <w:bookmarkEnd w:id="46"/>
      <w:bookmarkEnd w:id="47"/>
    </w:p>
    <w:p w14:paraId="4F8BC63C" w14:textId="77777777" w:rsidR="0073746C" w:rsidRPr="005C4B73" w:rsidRDefault="0073746C" w:rsidP="0073746C">
      <w:pPr>
        <w:pStyle w:val="PAGHeadline-1-Chapter"/>
        <w:rPr>
          <w:lang w:val="en-US"/>
        </w:rPr>
      </w:pPr>
      <w:bookmarkStart w:id="48" w:name="_Toc56155943"/>
      <w:bookmarkStart w:id="49" w:name="_Toc57811266"/>
      <w:r>
        <w:rPr>
          <w:lang w:val="en"/>
        </w:rPr>
        <w:t>Porsche investiga intensivamente el combustible del futuro</w:t>
      </w:r>
      <w:bookmarkEnd w:id="48"/>
      <w:bookmarkEnd w:id="49"/>
    </w:p>
    <w:p w14:paraId="4040CF87" w14:textId="77777777" w:rsidR="0073746C" w:rsidRPr="005C4B73" w:rsidRDefault="0073746C" w:rsidP="0073746C">
      <w:pPr>
        <w:pStyle w:val="PAGParagraphNormal"/>
        <w:rPr>
          <w:lang w:val="en-US"/>
        </w:rPr>
      </w:pPr>
      <w:r>
        <w:rPr>
          <w:lang w:val="en"/>
        </w:rPr>
        <w:t>Los electrocombustibles son carburantes líquidos sintéticos, producidos a partir de agua (H</w:t>
      </w:r>
      <w:r>
        <w:rPr>
          <w:vertAlign w:val="subscript"/>
          <w:lang w:val="en"/>
        </w:rPr>
        <w:t>2</w:t>
      </w:r>
      <w:r>
        <w:rPr>
          <w:lang w:val="en"/>
        </w:rPr>
        <w:t>O) y dióxido de carbono (CO</w:t>
      </w:r>
      <w:r>
        <w:rPr>
          <w:vertAlign w:val="subscript"/>
          <w:lang w:val="en"/>
        </w:rPr>
        <w:t>2</w:t>
      </w:r>
      <w:r>
        <w:rPr>
          <w:lang w:val="en"/>
        </w:rPr>
        <w:t>). La electricidad necesaria para su producción debería proceder de fuentes renovables (energía solar y eólica). Porsche está investigando con empeño estos carburantes: los electrocombustibles posibilitan el funcionamiento prácticamente neutro en CO</w:t>
      </w:r>
      <w:r>
        <w:rPr>
          <w:vertAlign w:val="subscript"/>
          <w:lang w:val="en"/>
        </w:rPr>
        <w:t>2</w:t>
      </w:r>
      <w:r>
        <w:rPr>
          <w:lang w:val="en"/>
        </w:rPr>
        <w:t xml:space="preserve"> de los motores de combustión, ya que solo se emite la cantidad de CO</w:t>
      </w:r>
      <w:r>
        <w:rPr>
          <w:vertAlign w:val="subscript"/>
          <w:lang w:val="en"/>
        </w:rPr>
        <w:t>2</w:t>
      </w:r>
      <w:r>
        <w:rPr>
          <w:lang w:val="en"/>
        </w:rPr>
        <w:t xml:space="preserve"> que se ha extraído previamente de la atmósfera para la producción del electrocombustible, en lo que constituye un circuito cerrado. </w:t>
      </w:r>
    </w:p>
    <w:p w14:paraId="11663ED2" w14:textId="77777777" w:rsidR="0073746C" w:rsidRPr="005C4B73" w:rsidRDefault="0073746C" w:rsidP="0073746C">
      <w:pPr>
        <w:pStyle w:val="PAGParagraphNormal"/>
        <w:rPr>
          <w:lang w:val="en-US"/>
        </w:rPr>
      </w:pPr>
      <w:r>
        <w:rPr>
          <w:lang w:val="en"/>
        </w:rPr>
        <w:t>Los electrocombustibles reducen de inmediato la emisión de CO</w:t>
      </w:r>
      <w:r>
        <w:rPr>
          <w:vertAlign w:val="subscript"/>
          <w:lang w:val="en"/>
        </w:rPr>
        <w:t>2</w:t>
      </w:r>
      <w:r>
        <w:rPr>
          <w:lang w:val="en"/>
        </w:rPr>
        <w:t xml:space="preserve">, ya que pueden sustituir a los combustibles fósiles. Dependiendo de su disponibilidad, los electrocombustibles también pueden mezclarse inicialmente con combustible convencional. Otras ventajas residen en su almacenamiento y transporte utilizando la infraestructura existente. Además, el potencial de energía verde, de la cual incluso existe excedente en algunas regiones del mundo, puede almacenarse en electrocombustibles y transportarse a largas distancias. </w:t>
      </w:r>
    </w:p>
    <w:p w14:paraId="1A84AA6D" w14:textId="77777777" w:rsidR="0073746C" w:rsidRPr="005C4B73" w:rsidRDefault="0073746C" w:rsidP="0073746C">
      <w:pPr>
        <w:pStyle w:val="PAGParagraphNormal"/>
        <w:rPr>
          <w:lang w:val="en-US"/>
        </w:rPr>
      </w:pPr>
      <w:r>
        <w:rPr>
          <w:lang w:val="en"/>
        </w:rPr>
        <w:t>Así pues, los electrocombustibles pueden contribuir a reducir el CO</w:t>
      </w:r>
      <w:r>
        <w:rPr>
          <w:vertAlign w:val="subscript"/>
          <w:lang w:val="en"/>
        </w:rPr>
        <w:t>2</w:t>
      </w:r>
      <w:r>
        <w:rPr>
          <w:lang w:val="en"/>
        </w:rPr>
        <w:t xml:space="preserve"> y son un importante elemento de la estrategia de propulsión de Porsche: el fabricante de automóviles deportivos apuesta a medio plazo por una tríada de sistemas de propulsión. Junto a los modelos eléctricos, esta seguirá incluyendo también motores de combustión optimizados altamente emocionales, así como híbridos enchufables sin emisiones locales. Los electrocombustibles permiten reducir sustancialmente la huella de CO</w:t>
      </w:r>
      <w:r>
        <w:rPr>
          <w:vertAlign w:val="subscript"/>
          <w:lang w:val="en"/>
        </w:rPr>
        <w:t>2</w:t>
      </w:r>
      <w:r>
        <w:rPr>
          <w:lang w:val="en"/>
        </w:rPr>
        <w:t xml:space="preserve"> de los vehículos de combustión y de los híbridos enchufables.</w:t>
      </w:r>
    </w:p>
    <w:p w14:paraId="6E8ACA8C" w14:textId="77777777" w:rsidR="0073746C" w:rsidRPr="005C4B73" w:rsidRDefault="0073746C" w:rsidP="0073746C">
      <w:pPr>
        <w:spacing w:line="360" w:lineRule="auto"/>
        <w:jc w:val="both"/>
        <w:rPr>
          <w:rFonts w:ascii="Arial" w:hAnsi="Arial" w:cs="Arial"/>
          <w:b/>
          <w:bCs/>
          <w:lang w:val="en-US"/>
        </w:rPr>
      </w:pPr>
      <w:r>
        <w:rPr>
          <w:rFonts w:ascii="Arial" w:hAnsi="Arial" w:cs="Arial"/>
          <w:b/>
          <w:bCs/>
          <w:lang w:val="en"/>
        </w:rPr>
        <w:t xml:space="preserve">Materias primas: agua y dióxido de carbono </w:t>
      </w:r>
    </w:p>
    <w:p w14:paraId="5D894A7A" w14:textId="77777777" w:rsidR="0073746C" w:rsidRPr="005C4B73" w:rsidRDefault="0073746C" w:rsidP="0073746C">
      <w:pPr>
        <w:spacing w:line="360" w:lineRule="auto"/>
        <w:jc w:val="both"/>
        <w:rPr>
          <w:rFonts w:ascii="Arial" w:hAnsi="Arial" w:cs="Arial"/>
          <w:lang w:val="en-US"/>
        </w:rPr>
      </w:pPr>
      <w:r>
        <w:rPr>
          <w:rFonts w:ascii="Arial" w:hAnsi="Arial" w:cs="Arial"/>
          <w:lang w:val="en"/>
        </w:rPr>
        <w:t xml:space="preserve">Como materias primas para la producción de los electrocombustibles se necesitan únicamente agua y dióxido de carbono. El hidrógeno requerido se obtiene del agua por medio de electrólisis. En términos simplificados, para ello se conduce corriente continua a través de agua, de modo que en el polo negativo (cátodo) se escinde y captura el hidrógeno. La eficiencia energética de este proceso se sitúa en torno al 70 por ciento. A fin de proteger las reservas de agua potable, los conceptos sostenibles, prevén la construcción de plantas </w:t>
      </w:r>
      <w:r>
        <w:rPr>
          <w:rFonts w:ascii="Arial" w:hAnsi="Arial" w:cs="Arial"/>
          <w:lang w:val="en"/>
        </w:rPr>
        <w:lastRenderedPageBreak/>
        <w:t xml:space="preserve">de producción lo más cerca posible del mar y utilizar agua de mar desalada. Por cada litro de combustible renovable de dentro de la cadena se requieren dos litros de agua. </w:t>
      </w:r>
    </w:p>
    <w:p w14:paraId="76FB20A1" w14:textId="77777777" w:rsidR="0073746C" w:rsidRPr="005C4B73" w:rsidRDefault="0073746C" w:rsidP="0073746C">
      <w:pPr>
        <w:spacing w:line="360" w:lineRule="auto"/>
        <w:jc w:val="both"/>
        <w:rPr>
          <w:rFonts w:ascii="Arial" w:hAnsi="Arial" w:cs="Arial"/>
          <w:lang w:val="en-US"/>
        </w:rPr>
      </w:pPr>
    </w:p>
    <w:p w14:paraId="1B1FB96D" w14:textId="77777777" w:rsidR="0073746C" w:rsidRPr="005C4B73" w:rsidRDefault="0073746C" w:rsidP="0073746C">
      <w:pPr>
        <w:spacing w:line="360" w:lineRule="auto"/>
        <w:jc w:val="both"/>
        <w:rPr>
          <w:rFonts w:ascii="Arial" w:hAnsi="Arial" w:cs="Arial"/>
          <w:lang w:val="en-US"/>
        </w:rPr>
      </w:pPr>
      <w:r>
        <w:rPr>
          <w:rFonts w:ascii="Arial" w:hAnsi="Arial" w:cs="Arial"/>
          <w:lang w:val="en"/>
        </w:rPr>
        <w:t>El dióxido de carbono se extrae directamente del aire mediante el método denominado Direct-Air-Capture. En el proceso, grandes ventiladores empujan el aire ambiental a través de filtros en los que se deposita el dióxido de carbono contenido en la atmósfera. Dependiendo del procedimiento, los filtros están tratados con distintas sustancias, de las cuales se separa el CO</w:t>
      </w:r>
      <w:r>
        <w:rPr>
          <w:rFonts w:ascii="Arial" w:hAnsi="Arial" w:cs="Arial"/>
          <w:vertAlign w:val="subscript"/>
          <w:lang w:val="en"/>
        </w:rPr>
        <w:t>2</w:t>
      </w:r>
      <w:r>
        <w:rPr>
          <w:rFonts w:ascii="Arial" w:hAnsi="Arial" w:cs="Arial"/>
          <w:lang w:val="en"/>
        </w:rPr>
        <w:t xml:space="preserve"> durante el procesamiento posterior. Tales instalaciones ya están en funcionamiento, por ejemplo, en Canadá y Suiza. La reducción y recuperación de CO</w:t>
      </w:r>
      <w:r>
        <w:rPr>
          <w:rFonts w:ascii="Arial" w:hAnsi="Arial" w:cs="Arial"/>
          <w:vertAlign w:val="subscript"/>
          <w:lang w:val="en"/>
        </w:rPr>
        <w:t>2</w:t>
      </w:r>
      <w:r>
        <w:rPr>
          <w:rFonts w:ascii="Arial" w:hAnsi="Arial" w:cs="Arial"/>
          <w:lang w:val="en"/>
        </w:rPr>
        <w:t xml:space="preserve"> del aire ambiental puede convertirse en el futuro en una tecnología clave para la protección del clima. De ahí que sea imprescindible continuar industrializando estas tecnologías y convertirlas en rentables.</w:t>
      </w:r>
    </w:p>
    <w:p w14:paraId="2B1944AB" w14:textId="77777777" w:rsidR="0073746C" w:rsidRPr="005C4B73" w:rsidRDefault="0073746C" w:rsidP="0073746C">
      <w:pPr>
        <w:spacing w:line="360" w:lineRule="auto"/>
        <w:jc w:val="both"/>
        <w:rPr>
          <w:rFonts w:ascii="Arial" w:hAnsi="Arial" w:cs="Arial"/>
          <w:lang w:val="en-US"/>
        </w:rPr>
      </w:pPr>
    </w:p>
    <w:p w14:paraId="036C2533" w14:textId="77777777" w:rsidR="0073746C" w:rsidRPr="005C4B73" w:rsidRDefault="0073746C" w:rsidP="0073746C">
      <w:pPr>
        <w:spacing w:line="360" w:lineRule="auto"/>
        <w:jc w:val="both"/>
        <w:rPr>
          <w:rFonts w:ascii="Arial" w:hAnsi="Arial" w:cs="Arial"/>
          <w:b/>
          <w:bCs/>
          <w:lang w:val="en-US"/>
        </w:rPr>
      </w:pPr>
      <w:r>
        <w:rPr>
          <w:rFonts w:ascii="Arial" w:hAnsi="Arial" w:cs="Arial"/>
          <w:b/>
          <w:bCs/>
          <w:lang w:val="en"/>
        </w:rPr>
        <w:t>Electricidad verde en regiones muy soleadas y ventosas para la producción local de electrocombustibles</w:t>
      </w:r>
    </w:p>
    <w:p w14:paraId="66DBB72B" w14:textId="77777777" w:rsidR="0073746C" w:rsidRPr="005C4B73" w:rsidRDefault="0073746C" w:rsidP="0073746C">
      <w:pPr>
        <w:spacing w:line="360" w:lineRule="auto"/>
        <w:jc w:val="both"/>
        <w:rPr>
          <w:rFonts w:ascii="Arial" w:hAnsi="Arial" w:cs="Arial"/>
          <w:lang w:val="en-US"/>
        </w:rPr>
      </w:pPr>
      <w:r>
        <w:rPr>
          <w:rFonts w:ascii="Arial" w:hAnsi="Arial" w:cs="Arial"/>
          <w:lang w:val="en"/>
        </w:rPr>
        <w:t>Las regiones con condiciones económicas y ecológicas óptimas para la producción de electricidad eólica y solar se encuentran principalmente cerca de la costa, con viento frecuente o radiación solar intensa. Tales regiones se dan, por ejemplo, en Marruecos, Emiratos Árabes Unidos (EAU) o Sudáfrica, en Chile o en Australia. Actualmente, se parte de la premisa de que la electricidad en dichas regiones puede generarse con una eficiencia de las instalaciones de producción eléctrica entre tres y cuatro veces superior en comparación con Europa Central. La conducción de esta energía en forma eléctrica recorriendo grandes distancias hasta los consumidores sería costosa y estaría sujeta a importantes pérdidas. De ahí que sea aconsejable producir los electrocombustibles en los emplazamientos ricos en recursos energéticos, utilizando plantas de generación de electricidad renovable creadas al efecto. Para ello se integra el parque eólico o solar directamente en la instalación química para la producción de electrocombustibles. Esto permite prescindir del caro y costoso transporte mediante cables y obtener así ventajas muy superiores al factor cuatro en el coste de la electricidad. Además, posibilita el pleno aprovechamiento de las ventajas de los combustibles líquidos, como la facilidad de almacenamiento y transporte. De este modo, mediante transporte por tubería o en barco se puede abastecer a todo el mundo con combustibles neutros en CO</w:t>
      </w:r>
      <w:r>
        <w:rPr>
          <w:rFonts w:ascii="Arial" w:hAnsi="Arial" w:cs="Arial"/>
          <w:vertAlign w:val="subscript"/>
          <w:lang w:val="en"/>
        </w:rPr>
        <w:t>2</w:t>
      </w:r>
      <w:r>
        <w:rPr>
          <w:rFonts w:ascii="Arial" w:hAnsi="Arial" w:cs="Arial"/>
          <w:lang w:val="en"/>
        </w:rPr>
        <w:t xml:space="preserve">. La situación es distinta </w:t>
      </w:r>
      <w:r>
        <w:rPr>
          <w:rFonts w:ascii="Arial" w:hAnsi="Arial" w:cs="Arial"/>
          <w:lang w:val="en"/>
        </w:rPr>
        <w:lastRenderedPageBreak/>
        <w:t xml:space="preserve">en Europa Central, donde el uso más eficiente de la electricidad eólica o fotovoltaica generada es como tal. La distribución a través de líneas eléctricas, el almacenamiento en baterías y la utilización en vehículos eléctricos tienen lugar aquí con una eficiencia muy superior a la que puede alcanzarse con los electrocombustibles. Así pues, los conceptos más eficientes varían en cada caso en función de la distancia geográfica al punto de obtención y demanda de energía. </w:t>
      </w:r>
    </w:p>
    <w:p w14:paraId="160EDBD1" w14:textId="77777777" w:rsidR="0073746C" w:rsidRPr="005C4B73" w:rsidRDefault="0073746C" w:rsidP="0073746C">
      <w:pPr>
        <w:spacing w:line="360" w:lineRule="auto"/>
        <w:jc w:val="both"/>
        <w:rPr>
          <w:rFonts w:ascii="Arial" w:hAnsi="Arial" w:cs="Arial"/>
          <w:b/>
          <w:bCs/>
          <w:lang w:val="en-US"/>
        </w:rPr>
      </w:pPr>
      <w:r>
        <w:rPr>
          <w:rFonts w:ascii="Arial" w:hAnsi="Arial" w:cs="Arial"/>
          <w:b/>
          <w:bCs/>
          <w:lang w:val="en"/>
        </w:rPr>
        <w:t xml:space="preserve">Mediante el electrometanol hacia un combustible de bajas emisiones y uso universal </w:t>
      </w:r>
    </w:p>
    <w:p w14:paraId="5313A9AE" w14:textId="77777777" w:rsidR="0073746C" w:rsidRPr="005C4B73" w:rsidRDefault="0073746C" w:rsidP="0073746C">
      <w:pPr>
        <w:spacing w:line="360" w:lineRule="auto"/>
        <w:jc w:val="both"/>
        <w:rPr>
          <w:rFonts w:ascii="Arial" w:hAnsi="Arial" w:cs="Arial"/>
          <w:lang w:val="en-US"/>
        </w:rPr>
      </w:pPr>
      <w:r>
        <w:rPr>
          <w:rFonts w:ascii="Arial" w:hAnsi="Arial" w:cs="Arial"/>
          <w:lang w:val="en"/>
        </w:rPr>
        <w:t>El proceso de producción de los electrocombustibles empieza por la obtención del denominado electrometanol a partir de hidrógeno y CO</w:t>
      </w:r>
      <w:r>
        <w:rPr>
          <w:rFonts w:ascii="Arial" w:hAnsi="Arial" w:cs="Arial"/>
          <w:vertAlign w:val="subscript"/>
          <w:lang w:val="en"/>
        </w:rPr>
        <w:t>2</w:t>
      </w:r>
      <w:r>
        <w:rPr>
          <w:rFonts w:ascii="Arial" w:hAnsi="Arial" w:cs="Arial"/>
          <w:lang w:val="en"/>
        </w:rPr>
        <w:t xml:space="preserve">. Para ello se utilizan diversos métodos, por ejemplo, con ayuda de un catalizador. Este electrometanol puede utilizarse directamente en numerosos sectores industriales de todo el mundo como «sustituto verde» del metanol procedente de crudo fósil o gas natural. En un solo paso de síntesis, el denominado proceso «metanol a gasolina» (MtG), es posible transformar el electrometanol en electrocombustible (electrogasolina). Mediante su posterior refinamiento, este carburante alcanza un octanaje similar al de la gasolina súper y, por lo tanto, puede utilizarse en todos los motores de gasolina convencionales. </w:t>
      </w:r>
    </w:p>
    <w:p w14:paraId="3461605D" w14:textId="77777777" w:rsidR="0073746C" w:rsidRPr="005C4B73" w:rsidRDefault="0073746C" w:rsidP="0073746C">
      <w:pPr>
        <w:spacing w:line="360" w:lineRule="auto"/>
        <w:jc w:val="both"/>
        <w:rPr>
          <w:rFonts w:ascii="Arial" w:hAnsi="Arial" w:cs="Arial"/>
          <w:lang w:val="en-US"/>
        </w:rPr>
      </w:pPr>
    </w:p>
    <w:p w14:paraId="16BA95B2" w14:textId="7E9A7504" w:rsidR="0073746C" w:rsidRPr="005C4B73" w:rsidRDefault="0073746C" w:rsidP="0073746C">
      <w:pPr>
        <w:spacing w:line="360" w:lineRule="auto"/>
        <w:jc w:val="both"/>
        <w:rPr>
          <w:rFonts w:ascii="Arial" w:hAnsi="Arial" w:cs="Arial"/>
          <w:lang w:val="en-US"/>
        </w:rPr>
      </w:pPr>
      <w:r>
        <w:rPr>
          <w:rFonts w:ascii="Arial" w:hAnsi="Arial" w:cs="Arial"/>
          <w:lang w:val="en"/>
        </w:rPr>
        <w:t xml:space="preserve">Cuando los electrocombusitbles se produzcan solo con energías renovables, la emisión de </w:t>
      </w:r>
      <w:r w:rsidR="005C4B73">
        <w:rPr>
          <w:rFonts w:ascii="Arial" w:hAnsi="Arial" w:cs="Arial"/>
          <w:lang w:val="en"/>
        </w:rPr>
        <w:t>CO</w:t>
      </w:r>
      <w:r w:rsidR="005C4B73">
        <w:rPr>
          <w:rFonts w:ascii="Arial" w:hAnsi="Arial" w:cs="Arial"/>
          <w:vertAlign w:val="subscript"/>
          <w:lang w:val="en"/>
        </w:rPr>
        <w:t>2</w:t>
      </w:r>
      <w:r>
        <w:rPr>
          <w:rFonts w:ascii="Arial" w:hAnsi="Arial" w:cs="Arial"/>
          <w:lang w:val="en"/>
        </w:rPr>
        <w:t xml:space="preserve"> de vehículos de combustión e híbridos enchufables en funcionamiento se reducirá sustancialmente. De hecho, puede hacerse en todo el parque móvil actual. Dependiendo de la disponibilidad, en una primera fase como mezcla con el carburante convencional, y más adelante también como electrocombustible puro. Además, se podrá seguir utilizando la infraestructura existente para el almacenamiento y la distribución del combustible. La producción sintética de los electrocombustibles posibilita asimismo un diseño del carburante orientado a unas propiedades que reduzcan las emisiones e incrementen la eficiencia. Por ejemplo, al no contener impurezas, los electrocombustibles generan menos emisiones de sustancias nocivas y polvo fino que los combustibles basados en petróleo y, por lo tanto, su combustión es más limpia. Así pues, el uso de electrocombustibles permite reducir significativamente las denominadas emisiones brutas (por ejemplo, de partículas) procedentes de muchos motores actuales. </w:t>
      </w:r>
    </w:p>
    <w:p w14:paraId="0F0D9333" w14:textId="77777777" w:rsidR="0073746C" w:rsidRPr="005C4B73" w:rsidRDefault="0073746C" w:rsidP="0073746C">
      <w:pPr>
        <w:pStyle w:val="PAGParagraphNormal"/>
        <w:rPr>
          <w:lang w:val="en-US"/>
        </w:rPr>
      </w:pPr>
    </w:p>
    <w:p w14:paraId="16D4D496" w14:textId="77777777" w:rsidR="0073746C" w:rsidRPr="007169C4" w:rsidRDefault="0073746C" w:rsidP="0073746C">
      <w:pPr>
        <w:pStyle w:val="PAGColumn-Title"/>
      </w:pPr>
      <w:bookmarkStart w:id="50" w:name="_Toc56155944"/>
      <w:bookmarkStart w:id="51" w:name="_Toc57811267"/>
      <w:r>
        <w:rPr>
          <w:bCs w:val="0"/>
          <w:lang w:val="en"/>
        </w:rPr>
        <w:lastRenderedPageBreak/>
        <w:t xml:space="preserve">Porsche </w:t>
      </w:r>
      <w:bookmarkEnd w:id="50"/>
      <w:r>
        <w:rPr>
          <w:bCs w:val="0"/>
          <w:lang w:val="en"/>
        </w:rPr>
        <w:t>Destination Charging</w:t>
      </w:r>
      <w:bookmarkEnd w:id="51"/>
    </w:p>
    <w:p w14:paraId="7DEC35C9" w14:textId="77777777" w:rsidR="0073746C" w:rsidRPr="005C4B73" w:rsidRDefault="0073746C" w:rsidP="0073746C">
      <w:pPr>
        <w:pStyle w:val="PAGHeadline-1-Chapter"/>
        <w:rPr>
          <w:lang w:val="en-US"/>
        </w:rPr>
      </w:pPr>
      <w:bookmarkStart w:id="52" w:name="_Toc56155945"/>
      <w:bookmarkStart w:id="53" w:name="_Toc57811268"/>
      <w:r>
        <w:rPr>
          <w:lang w:val="en"/>
        </w:rPr>
        <w:t>Porsche acelera la ampliación de la infraestructura de carga</w:t>
      </w:r>
      <w:bookmarkEnd w:id="52"/>
      <w:bookmarkEnd w:id="53"/>
    </w:p>
    <w:p w14:paraId="69D8622B" w14:textId="7E16A82E" w:rsidR="0073746C" w:rsidRPr="005C4B73" w:rsidRDefault="0073746C" w:rsidP="0073746C">
      <w:pPr>
        <w:pStyle w:val="PAGParagraphNormal"/>
        <w:rPr>
          <w:lang w:val="en-US"/>
        </w:rPr>
      </w:pPr>
      <w:r>
        <w:rPr>
          <w:lang w:val="en"/>
        </w:rPr>
        <w:t xml:space="preserve">La clave del éxito de la electromovilidad no solo radica en la creación de vehículos fascinantes, sino también en una infraestructura de carga cómoda para los clientes y unas soluciones de carga inteligentes. De ahí que Porsche haya aumentado el ritmo: La empresa sigue invirtiendo en la infraestructura de carga Porsche Destination Charging. Esta parde de la red de carga abarca puntos de carga con corriente alterna (CA) de 400 voltios y una potencia de 11 kW. </w:t>
      </w:r>
      <w:r w:rsidRPr="005C4B73">
        <w:t xml:space="preserve">Actualmente existen más de 1800 puntos de carga en más de 50 países. </w:t>
      </w:r>
      <w:r>
        <w:rPr>
          <w:lang w:val="en"/>
        </w:rPr>
        <w:t>Las estaciones se ubican en hoteles, aeropuertos, museos, centros comerciales, clubes deportivos y puertos deportivos seleccionados. En ellos, los clientes de Porsche que conducen un modelo híbrido enchufable o un Taycan pueden cargar de forma gratuita.</w:t>
      </w:r>
    </w:p>
    <w:p w14:paraId="2D3AF918" w14:textId="77777777" w:rsidR="0073746C" w:rsidRPr="005C4B73" w:rsidRDefault="0073746C" w:rsidP="0073746C">
      <w:pPr>
        <w:pStyle w:val="PAGParagraphNormal"/>
        <w:rPr>
          <w:color w:val="000000"/>
          <w:shd w:val="clear" w:color="auto" w:fill="FFFFFF"/>
          <w:lang w:val="en-US"/>
        </w:rPr>
      </w:pPr>
      <w:r>
        <w:rPr>
          <w:lang w:val="en"/>
        </w:rPr>
        <w:t>Desde ahora, los dos cargadores disponibles como accesorios originales ofrecen más potencia y, por ende, un tiempo de carga más corto en la toma de enchufe doméstica o industrial: el Porsche Mobile Charger Plus proporciona hasta 11 kW. Con carácter opcional,</w:t>
      </w:r>
      <w:r>
        <w:rPr>
          <w:rFonts w:ascii="Arial Narrow" w:hAnsi="Arial Narrow"/>
          <w:color w:val="000000"/>
          <w:shd w:val="clear" w:color="auto" w:fill="FFFFFF"/>
          <w:lang w:val="en"/>
        </w:rPr>
        <w:t xml:space="preserve"> </w:t>
      </w:r>
      <w:r>
        <w:rPr>
          <w:color w:val="000000"/>
          <w:shd w:val="clear" w:color="auto" w:fill="FFFFFF"/>
          <w:lang w:val="en"/>
        </w:rPr>
        <w:t xml:space="preserve">los conductores de un Taycan </w:t>
      </w:r>
      <w:r>
        <w:rPr>
          <w:rStyle w:val="Fett"/>
          <w:b w:val="0"/>
          <w:bCs w:val="0"/>
          <w:color w:val="000000"/>
          <w:shd w:val="clear" w:color="auto" w:fill="FFFFFF"/>
          <w:lang w:val="en"/>
        </w:rPr>
        <w:t>disponen además de un cargador CA de a bordo </w:t>
      </w:r>
      <w:r>
        <w:rPr>
          <w:color w:val="000000"/>
          <w:shd w:val="clear" w:color="auto" w:fill="FFFFFF"/>
          <w:lang w:val="en"/>
        </w:rPr>
        <w:t>con 22 kW. Este permite cargar la batería aproximadamente en la mitad del tiempo necesario con el cargador de corriente alterna de 11 kW instalado de serie. Esta opción estará disponible a partir de finales del año 2020.</w:t>
      </w:r>
    </w:p>
    <w:p w14:paraId="4A72CFA8" w14:textId="77777777" w:rsidR="0073746C" w:rsidRPr="005C4B73" w:rsidRDefault="0073746C" w:rsidP="0073746C">
      <w:pPr>
        <w:pStyle w:val="PAGParagraphNormal"/>
        <w:keepNext/>
        <w:rPr>
          <w:rStyle w:val="Fett"/>
          <w:lang w:val="en-US"/>
        </w:rPr>
      </w:pPr>
      <w:r>
        <w:rPr>
          <w:rStyle w:val="Fett"/>
          <w:lang w:val="en"/>
        </w:rPr>
        <w:t xml:space="preserve">Asistencia técnica para la solución de carga en casa </w:t>
      </w:r>
    </w:p>
    <w:p w14:paraId="319533E1" w14:textId="77777777" w:rsidR="0073746C" w:rsidRPr="005C4B73" w:rsidRDefault="0073746C" w:rsidP="0073746C">
      <w:pPr>
        <w:pStyle w:val="PAGParagraphNormal"/>
        <w:rPr>
          <w:lang w:val="en-US"/>
        </w:rPr>
      </w:pPr>
      <w:r>
        <w:rPr>
          <w:lang w:val="en"/>
        </w:rPr>
        <w:t xml:space="preserve">Porsche equipa de serie cada modelo híbrido con un cable de carga para el uso móvil. Sin embargo, la mayoría de los procesos de carga tiene lugar en casa. Porsche presta asistencia a sus clientes a este respecto con un asesoramiento competente y la instalación segura del variado equipamiento de carga, así como con el sistema inteligente de gestión de la carga Porsche Home Energy Manager. </w:t>
      </w:r>
    </w:p>
    <w:p w14:paraId="43F3FC08" w14:textId="77777777" w:rsidR="0073746C" w:rsidRPr="005C4B73" w:rsidRDefault="0073746C" w:rsidP="0073746C">
      <w:pPr>
        <w:pStyle w:val="PAGParagraphNormal"/>
        <w:rPr>
          <w:lang w:val="en-US"/>
        </w:rPr>
      </w:pPr>
      <w:r>
        <w:rPr>
          <w:lang w:val="en"/>
        </w:rPr>
        <w:t xml:space="preserve">El fabricante ofrece una comprobación en varias etapas de la situación de carga en cada caso. En el Porsche Charging Pre-Check, las personas interesadas pueden saber enseguida si, en general, es posible la carga en su vivienda. En un breve cuestionario online se recopilan datos sobre la situación de la vivienda y el aparcamiento, las tomas de corriente existentes y la disponibilidad de Internet. Sobre esta base, el cliente potencial obtiene un </w:t>
      </w:r>
      <w:r>
        <w:rPr>
          <w:lang w:val="en"/>
        </w:rPr>
        <w:lastRenderedPageBreak/>
        <w:t>primer pronóstico. Si desea un asesoramiento personal, puede enviar su Pre Check ID a un centro de Porsche.</w:t>
      </w:r>
    </w:p>
    <w:p w14:paraId="021888B7" w14:textId="77777777" w:rsidR="0073746C" w:rsidRPr="005C4B73" w:rsidRDefault="0073746C" w:rsidP="0073746C">
      <w:pPr>
        <w:pStyle w:val="PAGParagraphNormal"/>
        <w:rPr>
          <w:lang w:val="en-US"/>
        </w:rPr>
      </w:pPr>
      <w:r>
        <w:rPr>
          <w:lang w:val="en"/>
        </w:rPr>
        <w:t>Los centros de Porsche también posibilitan este Home-Check antes de la compra del vehículo. Un electricista comprueba las condiciones sobre el terreno y, posteriormente, puede realizar también la instalación del punto de carga. El centro de Porsche recibe un informe de esta visita a domicilio para poder asesorar de forma óptima al cliente a la hora de escoger el equipamiento de carga.</w:t>
      </w:r>
    </w:p>
    <w:p w14:paraId="024184BD" w14:textId="77777777" w:rsidR="0073746C" w:rsidRPr="005C4B73" w:rsidRDefault="0073746C" w:rsidP="0073746C">
      <w:pPr>
        <w:pStyle w:val="PAGParagraphNormal"/>
        <w:keepNext/>
        <w:rPr>
          <w:rStyle w:val="Fett"/>
          <w:lang w:val="en-US"/>
        </w:rPr>
      </w:pPr>
      <w:r>
        <w:rPr>
          <w:rStyle w:val="Fett"/>
          <w:lang w:val="en"/>
        </w:rPr>
        <w:t xml:space="preserve">Porsche Mobile Charger Plus </w:t>
      </w:r>
    </w:p>
    <w:p w14:paraId="268DF93E" w14:textId="1504F3EF" w:rsidR="0073746C" w:rsidRPr="005C4B73" w:rsidRDefault="005C568F" w:rsidP="005C568F">
      <w:pPr>
        <w:pStyle w:val="PAGParagraphNormal"/>
        <w:rPr>
          <w:lang w:val="en-US"/>
        </w:rPr>
      </w:pPr>
      <w:r>
        <w:rPr>
          <w:lang w:val="en"/>
        </w:rPr>
        <w:t xml:space="preserve">Para la conexión a una caja de enchufe doméstica o industrial, los modelos híbridos Porsche pueden utilizar el Porsche Mobile Charger Plus, el sucesor del Porsche Mobile Charger. El cargador es ahora especialmente potente, lo cual le permite cargar de forma aún más rápida. </w:t>
      </w:r>
    </w:p>
    <w:p w14:paraId="2F9F7AF0" w14:textId="77777777" w:rsidR="0073746C" w:rsidRPr="005C4B73" w:rsidRDefault="0073746C" w:rsidP="0073746C">
      <w:pPr>
        <w:pStyle w:val="PAGParagraphNormal"/>
        <w:keepNext/>
        <w:rPr>
          <w:rStyle w:val="Fett"/>
          <w:lang w:val="en-US"/>
        </w:rPr>
      </w:pPr>
      <w:r>
        <w:rPr>
          <w:rStyle w:val="Fett"/>
          <w:lang w:val="en"/>
        </w:rPr>
        <w:t>Home Energy Manager y funciones de carga inteligentes</w:t>
      </w:r>
    </w:p>
    <w:p w14:paraId="143C1CF6" w14:textId="77777777" w:rsidR="0073746C" w:rsidRPr="005C4B73" w:rsidRDefault="0073746C" w:rsidP="0073746C">
      <w:pPr>
        <w:pStyle w:val="PAGParagraphNormal"/>
        <w:rPr>
          <w:lang w:val="en-US"/>
        </w:rPr>
      </w:pPr>
      <w:r>
        <w:rPr>
          <w:lang w:val="en"/>
        </w:rPr>
        <w:t>El Home Energy Manager puede ser integrado por un electricista en la red eléctrica doméstica, y permite realizar la carga en casa cómodamente y sin problemas. Esta central de conmutación inteligente optimiza el proceso de carga en relación con la potencia, el tiempo y los costes. Además, ofrece protección contra sobrecarga de la red doméstica, ya que en caso de que se vaya a producir una sobrecarga reduce en la medida necesaria la potencia de carga del vehículo y evita que se dispare el fusible de la casa.</w:t>
      </w:r>
    </w:p>
    <w:p w14:paraId="612FBFB0" w14:textId="77777777" w:rsidR="0073746C" w:rsidRPr="005C4B73" w:rsidRDefault="0073746C" w:rsidP="0073746C">
      <w:pPr>
        <w:pStyle w:val="PAGParagraphNormal"/>
        <w:keepNext/>
        <w:rPr>
          <w:rStyle w:val="Fett"/>
          <w:lang w:val="en-US"/>
        </w:rPr>
      </w:pPr>
      <w:r>
        <w:rPr>
          <w:rStyle w:val="Fett"/>
          <w:lang w:val="en"/>
        </w:rPr>
        <w:t>El programa de lealtad «&amp;Charge»</w:t>
      </w:r>
    </w:p>
    <w:p w14:paraId="7FD9B739" w14:textId="77777777" w:rsidR="0073746C" w:rsidRPr="005C4B73" w:rsidRDefault="0073746C" w:rsidP="0073746C">
      <w:pPr>
        <w:pStyle w:val="PAGParagraphNormal"/>
        <w:rPr>
          <w:lang w:val="en"/>
        </w:rPr>
      </w:pPr>
      <w:r>
        <w:rPr>
          <w:lang w:val="en"/>
        </w:rPr>
        <w:t>«&amp;Charge» es una plataforma digital que permite a los usuarios obtener por sus compras en línea un crédito para la movilidad eléctrica. Por todas las compras, contrataciones y otras transacciones que se tramiten a través de la plataforma en línea, los usuarios reciben los denominados kilómetros. Posteriormente, estos pueden utilizarse como créditos de carga de vehículos eléctricos o canjearse por trayectos gratuitos en escúteres eléctricos públicos y coches compartidos, entre otras ventajas.</w:t>
      </w:r>
    </w:p>
    <w:p w14:paraId="1F6E840A" w14:textId="03709AA9" w:rsidR="0073746C" w:rsidRDefault="0073746C" w:rsidP="00EF1B5C">
      <w:pPr>
        <w:pStyle w:val="PAGParagraphNormal"/>
        <w:rPr>
          <w:lang w:val="en"/>
        </w:rPr>
      </w:pPr>
      <w:r>
        <w:rPr>
          <w:lang w:val="en"/>
        </w:rPr>
        <w:lastRenderedPageBreak/>
        <w:t>Porsche Digital ha creado con «&amp;Charge» una empresa propia en el ámbito de la electromovilidad, y ha ampliado así la cartera de negocios digital. La plataforma «&amp;Charge» está disponible actualmente en Alemania, Austria, Bélgica y Países Bajos. En breve les seguirán otros países.</w:t>
      </w:r>
    </w:p>
    <w:p w14:paraId="11E9F7F9" w14:textId="57DAD63C" w:rsidR="00623D1A" w:rsidRDefault="00623D1A" w:rsidP="00EF1B5C">
      <w:pPr>
        <w:pStyle w:val="PAGParagraphNormal"/>
        <w:rPr>
          <w:lang w:val="en"/>
        </w:rPr>
      </w:pPr>
    </w:p>
    <w:p w14:paraId="66668D85" w14:textId="77777777" w:rsidR="00623D1A" w:rsidRPr="007931CE" w:rsidRDefault="00623D1A" w:rsidP="00623D1A">
      <w:pPr>
        <w:pStyle w:val="PAGColumn-Title"/>
      </w:pPr>
      <w:bookmarkStart w:id="54" w:name="_Toc57811269"/>
      <w:r>
        <w:rPr>
          <w:lang w:val="en"/>
        </w:rPr>
        <w:lastRenderedPageBreak/>
        <w:t>Glosario</w:t>
      </w:r>
      <w:bookmarkEnd w:id="54"/>
    </w:p>
    <w:p w14:paraId="07501D55" w14:textId="77777777" w:rsidR="00623D1A" w:rsidRPr="007931CE" w:rsidRDefault="00623D1A" w:rsidP="00623D1A">
      <w:pPr>
        <w:pStyle w:val="PAGHeadline-1-Chapter"/>
      </w:pPr>
      <w:bookmarkStart w:id="55" w:name="_Toc57811270"/>
      <w:r>
        <w:rPr>
          <w:lang w:val="en"/>
        </w:rPr>
        <w:t>Los principales términos técnicos relacionados con la carga</w:t>
      </w:r>
      <w:bookmarkEnd w:id="55"/>
    </w:p>
    <w:p w14:paraId="2782080B" w14:textId="77777777" w:rsidR="00623D1A" w:rsidRPr="007931CE" w:rsidRDefault="00623D1A" w:rsidP="00623D1A">
      <w:pPr>
        <w:pStyle w:val="PAGParagraphNormal"/>
      </w:pPr>
      <w:r>
        <w:rPr>
          <w:lang w:val="en"/>
        </w:rPr>
        <w:t xml:space="preserve">                                                                                </w:t>
      </w:r>
    </w:p>
    <w:p w14:paraId="427B5062" w14:textId="77777777" w:rsidR="00623D1A" w:rsidRPr="007931CE" w:rsidRDefault="00623D1A" w:rsidP="00623D1A">
      <w:pPr>
        <w:pStyle w:val="PAGParagraphNormal"/>
      </w:pPr>
      <w:r>
        <w:rPr>
          <w:b/>
          <w:bCs/>
          <w:lang w:val="en"/>
        </w:rPr>
        <w:t>Carga de CA:</w:t>
      </w:r>
      <w:r>
        <w:rPr>
          <w:lang w:val="en"/>
        </w:rPr>
        <w:t xml:space="preserve"> Carga con corriente alterna. Los coches eléctricos almacenan en la batería corriente continua (CC). Por eso es necesaria una conversión de corriente alterna a corriente continua. De esto se encarga el cargador a bordo en el vehículo. </w:t>
      </w:r>
    </w:p>
    <w:p w14:paraId="0FC796E5" w14:textId="77777777" w:rsidR="00623D1A" w:rsidRPr="007931CE" w:rsidRDefault="00623D1A" w:rsidP="00623D1A">
      <w:pPr>
        <w:pStyle w:val="PAGParagraphNormal"/>
      </w:pPr>
      <w:r>
        <w:rPr>
          <w:b/>
          <w:bCs/>
          <w:lang w:val="en"/>
        </w:rPr>
        <w:t>Combined Charging System (CCS):</w:t>
      </w:r>
      <w:r>
        <w:rPr>
          <w:lang w:val="en"/>
        </w:rPr>
        <w:t xml:space="preserve"> el conector CCS es un conector combinado para la carga de CA y CC. A través de la parte superior redondeada fluye corriente alterna normal (CA), mientras que la corriente continua (CC) se transmite a través de los dos contactos en la parte inferior y se utiliza también para la carga rápida. Porsche apuesta por el Combined Charging System como estándar en Europa (CCS2) y en EE. UU. (CCS1). Para Japón y China, Porsche ofrece los estándares locales (IGBT, Chademo).</w:t>
      </w:r>
    </w:p>
    <w:p w14:paraId="76F49A1E" w14:textId="77777777" w:rsidR="00623D1A" w:rsidRPr="007931CE" w:rsidRDefault="00623D1A" w:rsidP="00623D1A">
      <w:pPr>
        <w:pStyle w:val="PAGParagraphNormal"/>
      </w:pPr>
      <w:r>
        <w:rPr>
          <w:b/>
          <w:bCs/>
          <w:lang w:val="en"/>
        </w:rPr>
        <w:t>Carga de CC:</w:t>
      </w:r>
      <w:r>
        <w:rPr>
          <w:lang w:val="en"/>
        </w:rPr>
        <w:t xml:space="preserve"> carga con corriente continua. En este caso, la corriente se carga directamente en la batería sin necesidad de conversión; el rectificador está integrado en la estación de carga. </w:t>
      </w:r>
    </w:p>
    <w:p w14:paraId="20C96351" w14:textId="77777777" w:rsidR="00623D1A" w:rsidRPr="007931CE" w:rsidRDefault="00623D1A" w:rsidP="00623D1A">
      <w:pPr>
        <w:pStyle w:val="PAGParagraphNormal"/>
      </w:pPr>
      <w:r>
        <w:rPr>
          <w:b/>
          <w:bCs/>
          <w:lang w:val="en"/>
        </w:rPr>
        <w:t>Home-Check:</w:t>
      </w:r>
      <w:r>
        <w:rPr>
          <w:lang w:val="en"/>
        </w:rPr>
        <w:t xml:space="preserve"> un electricista comprueba in situ las posibilidades de carga en la vivienda y elabora una oferta sin compromiso para una instalación. Porsche colabora con The Mobility-House en el ámbito del Home-Check.</w:t>
      </w:r>
    </w:p>
    <w:p w14:paraId="68F3DBFC" w14:textId="77777777" w:rsidR="00623D1A" w:rsidRPr="007931CE" w:rsidRDefault="00623D1A" w:rsidP="00623D1A">
      <w:pPr>
        <w:pStyle w:val="PAGParagraphNormal"/>
      </w:pPr>
      <w:r>
        <w:rPr>
          <w:b/>
          <w:bCs/>
          <w:lang w:val="en"/>
        </w:rPr>
        <w:t>Mode-3-Ladekabel:</w:t>
      </w:r>
      <w:r>
        <w:rPr>
          <w:lang w:val="en"/>
        </w:rPr>
        <w:t xml:space="preserve"> cable de conexión entre el coche eléctrico y la estación de carga pública o el punto de carga doméstico. Permite la carga en la caja de enchufe (Schuko) doméstica con mayor rapidez que con un cable de carga Mode 2.</w:t>
      </w:r>
    </w:p>
    <w:p w14:paraId="6E4B5046" w14:textId="77777777" w:rsidR="00623D1A" w:rsidRPr="007931CE" w:rsidRDefault="00623D1A" w:rsidP="00623D1A">
      <w:pPr>
        <w:pStyle w:val="PAGParagraphNormal"/>
      </w:pPr>
      <w:r>
        <w:rPr>
          <w:b/>
          <w:bCs/>
          <w:lang w:val="en"/>
        </w:rPr>
        <w:t>Plug &amp; Charge:</w:t>
      </w:r>
      <w:r>
        <w:rPr>
          <w:lang w:val="en"/>
        </w:rPr>
        <w:t xml:space="preserve"> los conductores de Taycan ya solo necesitan enchufar el cable de carga para iniciar la carga. Los datos de autentificación están consignados en el vehículo. De esta manera, la estación de carga detecta automáticamente quién se encuentra en la columna. El estándar ISO 15118 asegura que la comunicación entre la infraestructura y el automóvil esté protegida contra manipulaciones. También el proceso de pago se desarrolla automáticamente. Plug &amp; Charge ya está funcionando en columnas de carga de Ionity en Alemania, Noruega, Dinamarca, Suecia, Finlandia, Italia y la República Checa. A principios </w:t>
      </w:r>
      <w:r>
        <w:rPr>
          <w:lang w:val="en"/>
        </w:rPr>
        <w:lastRenderedPageBreak/>
        <w:t>de 2021 les seguirán otros doce países de Europa. En EE.UU. y Canadá, Plug &amp; Charge también estará disponibles a partir de principios de 2021 en numerosos puntos de carga de Electrify America y Electrify Canada.</w:t>
      </w:r>
    </w:p>
    <w:p w14:paraId="5A5385B0" w14:textId="77777777" w:rsidR="00623D1A" w:rsidRPr="007931CE" w:rsidRDefault="00623D1A" w:rsidP="00623D1A">
      <w:pPr>
        <w:pStyle w:val="PAGParagraphNormal"/>
      </w:pPr>
      <w:r>
        <w:rPr>
          <w:b/>
          <w:bCs/>
          <w:lang w:val="en"/>
        </w:rPr>
        <w:t>Porsche Charging Pre-Check:</w:t>
      </w:r>
      <w:r>
        <w:rPr>
          <w:lang w:val="en"/>
        </w:rPr>
        <w:t xml:space="preserve"> evaluación preliminar en línea de las posibilidades de carga doméstica. El cliente recibe una Pre-Check-ID personal. Esta identificación puede compartirse con un centro de Porsche o con un electricista para obtener un asesoramiento más en profundidad, como por ejemplo el Home-Check. </w:t>
      </w:r>
    </w:p>
    <w:p w14:paraId="513C9F4E" w14:textId="77777777" w:rsidR="00623D1A" w:rsidRPr="007931CE" w:rsidRDefault="00623D1A" w:rsidP="00623D1A">
      <w:pPr>
        <w:pStyle w:val="PAGParagraphNormal"/>
      </w:pPr>
      <w:r>
        <w:rPr>
          <w:b/>
          <w:bCs/>
          <w:lang w:val="en"/>
        </w:rPr>
        <w:t>Porsche Home Energy Manager:</w:t>
      </w:r>
      <w:r>
        <w:rPr>
          <w:lang w:val="en"/>
        </w:rPr>
        <w:t xml:space="preserve"> este sistema inteligente de gestión de la energía optimiza el proceso de carga doméstica en cuanto a potencia, tiempo y costes.</w:t>
      </w:r>
    </w:p>
    <w:p w14:paraId="1DB86288" w14:textId="77777777" w:rsidR="00623D1A" w:rsidRDefault="00623D1A" w:rsidP="00623D1A">
      <w:pPr>
        <w:pStyle w:val="PAGParagraphNormal"/>
      </w:pPr>
      <w:r>
        <w:rPr>
          <w:b/>
          <w:bCs/>
          <w:lang w:val="en"/>
        </w:rPr>
        <w:t>Porsche Mobile Charger Plus/Porsche Mobile Charger Connect:</w:t>
      </w:r>
      <w:r>
        <w:rPr>
          <w:lang w:val="en"/>
        </w:rPr>
        <w:t xml:space="preserve"> cargadores para la carga en cajas de enchufe domésticas o industriales. Disponible con una potencia de 9,6 o de 11 kW (Porsche Mobile Charger Plus) y de 7,2 o 22 kW (Porsche Mobile Charger Connect), respectivamente. El Porsche Mobile Charger Connect puede configurarse y manejarse por wifi e incorpora una pantalla táctil de cinco pulgadas. Los dos dispositivos se suministran con sus ambos cables. El volumen de suministro incluye también un soporte mural en versión básica para el montaje.</w:t>
      </w:r>
    </w:p>
    <w:p w14:paraId="0159A048" w14:textId="77777777" w:rsidR="00623D1A" w:rsidRPr="00C84E4A" w:rsidRDefault="00623D1A" w:rsidP="00EF1B5C">
      <w:pPr>
        <w:pStyle w:val="PAGParagraphNormal"/>
      </w:pPr>
    </w:p>
    <w:sectPr w:rsidR="00623D1A" w:rsidRPr="00C84E4A" w:rsidSect="00806768">
      <w:headerReference w:type="even" r:id="rId9"/>
      <w:headerReference w:type="default" r:id="rId10"/>
      <w:footerReference w:type="even" r:id="rId11"/>
      <w:footerReference w:type="default" r:id="rId12"/>
      <w:headerReference w:type="first" r:id="rId13"/>
      <w:footerReference w:type="first" r:id="rId14"/>
      <w:pgSz w:w="11906" w:h="16838"/>
      <w:pgMar w:top="1276"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53D98" w14:textId="77777777" w:rsidR="00021017" w:rsidRDefault="00021017" w:rsidP="007A4479">
      <w:r>
        <w:separator/>
      </w:r>
    </w:p>
  </w:endnote>
  <w:endnote w:type="continuationSeparator" w:id="0">
    <w:p w14:paraId="2A41F28D" w14:textId="77777777" w:rsidR="00021017" w:rsidRDefault="00021017" w:rsidP="007A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rsche Franklin Gothic Cond">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CJK SC">
    <w:altName w:val="Times New Roman"/>
    <w:panose1 w:val="020B0604020202020204"/>
    <w:charset w:val="01"/>
    <w:family w:val="auto"/>
    <w:pitch w:val="variable"/>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B0604020202020204"/>
    <w:charset w:val="01"/>
    <w:family w:val="roman"/>
    <w:pitch w:val="variable"/>
  </w:font>
  <w:font w:name="Lohit Devanagari">
    <w:altName w:val="Times New Roman"/>
    <w:panose1 w:val="020B0604020202020204"/>
    <w:charset w:val="01"/>
    <w:family w:val="auto"/>
    <w:pitch w:val="variable"/>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OpenSymbol">
    <w:altName w:val="Segoe UI Symbol"/>
    <w:panose1 w:val="020B0604020202020204"/>
    <w:charset w:val="00"/>
    <w:family w:val="auto"/>
    <w:pitch w:val="variable"/>
    <w:sig w:usb0="800000AF" w:usb1="1001ECEA"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Porsche Next TT">
    <w:altName w:val="Calibri"/>
    <w:panose1 w:val="020B0604020202020204"/>
    <w:charset w:val="00"/>
    <w:family w:val="swiss"/>
    <w:pitch w:val="variable"/>
    <w:sig w:usb0="A10002FF" w:usb1="4000607B" w:usb2="00000008" w:usb3="00000000" w:csb0="0000009F" w:csb1="00000000"/>
  </w:font>
  <w:font w:name="Yu Mincho">
    <w:altName w:val="Yu Gothic UI"/>
    <w:panose1 w:val="02020400000000000000"/>
    <w:charset w:val="80"/>
    <w:family w:val="roman"/>
    <w:pitch w:val="variable"/>
    <w:sig w:usb0="800002E7" w:usb1="2AC7FCFF" w:usb2="00000012" w:usb3="00000000" w:csb0="0002009F" w:csb1="00000000"/>
  </w:font>
  <w:font w:name="Arial Narrow">
    <w:altName w:val="﷽﷽﷽﷽﷽﷽﷽﷽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88CFD" w14:textId="77777777" w:rsidR="007D1719" w:rsidRDefault="007D17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8843A" w14:textId="77777777" w:rsidR="00B376AD" w:rsidRDefault="00B376AD" w:rsidP="006A1BB8">
    <w:pPr>
      <w:pStyle w:val="Presse-Standard"/>
    </w:pPr>
  </w:p>
  <w:tbl>
    <w:tblPr>
      <w:tblW w:w="0" w:type="auto"/>
      <w:tblBorders>
        <w:top w:val="single" w:sz="4" w:space="0" w:color="auto"/>
      </w:tblBorders>
      <w:tblLook w:val="04A0" w:firstRow="1" w:lastRow="0" w:firstColumn="1" w:lastColumn="0" w:noHBand="0" w:noVBand="1"/>
    </w:tblPr>
    <w:tblGrid>
      <w:gridCol w:w="5122"/>
      <w:gridCol w:w="2074"/>
      <w:gridCol w:w="2123"/>
    </w:tblGrid>
    <w:tr w:rsidR="00B376AD" w:rsidRPr="00FF71BE" w14:paraId="74346611" w14:textId="77777777">
      <w:tc>
        <w:tcPr>
          <w:tcW w:w="5122" w:type="dxa"/>
          <w:shd w:val="clear" w:color="auto" w:fill="auto"/>
        </w:tcPr>
        <w:p w14:paraId="74F58739" w14:textId="77777777" w:rsidR="00B376AD" w:rsidRDefault="00B376AD" w:rsidP="00FF71BE">
          <w:pPr>
            <w:pStyle w:val="PAGFooter"/>
          </w:pPr>
        </w:p>
        <w:p w14:paraId="0A5193F7" w14:textId="77777777" w:rsidR="00B376AD" w:rsidRPr="00E12743" w:rsidRDefault="00B376AD" w:rsidP="00FF71BE">
          <w:pPr>
            <w:pStyle w:val="PAGFooter"/>
          </w:pPr>
          <w:r w:rsidRPr="005C4B73">
            <w:t>Dr. Ing. h.c. F. Porsche AG</w:t>
          </w:r>
        </w:p>
        <w:p w14:paraId="76A620C0" w14:textId="77777777" w:rsidR="00B376AD" w:rsidRPr="005C4B73" w:rsidRDefault="00B376AD" w:rsidP="00FF71BE">
          <w:pPr>
            <w:pStyle w:val="PAGFooter"/>
            <w:rPr>
              <w:lang w:val="en-US"/>
            </w:rPr>
          </w:pPr>
          <w:r>
            <w:rPr>
              <w:lang w:val="en"/>
            </w:rPr>
            <w:t>Relaciones públicas, prensa, sostenibilidad y política</w:t>
          </w:r>
        </w:p>
        <w:p w14:paraId="5E436487" w14:textId="77777777" w:rsidR="00B376AD" w:rsidRPr="00E12743" w:rsidRDefault="00B376AD" w:rsidP="00FF71BE">
          <w:pPr>
            <w:pStyle w:val="PAGFooter"/>
          </w:pPr>
          <w:r>
            <w:rPr>
              <w:lang w:val="en"/>
            </w:rPr>
            <w:t>Porscheplatz 1</w:t>
          </w:r>
        </w:p>
        <w:p w14:paraId="5A7475C5" w14:textId="77777777" w:rsidR="00B376AD" w:rsidRPr="00E12743" w:rsidRDefault="00B376AD" w:rsidP="00FF71BE">
          <w:pPr>
            <w:pStyle w:val="PAGFooter"/>
          </w:pPr>
          <w:r>
            <w:rPr>
              <w:lang w:val="en"/>
            </w:rPr>
            <w:t>D-70435 Stuttgart</w:t>
          </w:r>
        </w:p>
      </w:tc>
      <w:tc>
        <w:tcPr>
          <w:tcW w:w="2074" w:type="dxa"/>
          <w:shd w:val="clear" w:color="auto" w:fill="auto"/>
        </w:tcPr>
        <w:p w14:paraId="40D6E188" w14:textId="77777777" w:rsidR="00B376AD" w:rsidRDefault="00B376AD" w:rsidP="00FF71BE">
          <w:pPr>
            <w:pStyle w:val="PAGFooter"/>
            <w:rPr>
              <w:rStyle w:val="PAGFooterZchn"/>
            </w:rPr>
          </w:pPr>
        </w:p>
        <w:p w14:paraId="0E96E584" w14:textId="77777777" w:rsidR="00B376AD" w:rsidRPr="00E12743" w:rsidRDefault="00B376AD" w:rsidP="00FF71BE">
          <w:pPr>
            <w:pStyle w:val="PAGFooter"/>
          </w:pPr>
          <w:r w:rsidRPr="005C4B73">
            <w:t xml:space="preserve">Dossiers de prensa </w:t>
          </w:r>
          <w:r w:rsidRPr="005C4B73">
            <w:rPr>
              <w:rStyle w:val="PAGFooterZchn"/>
            </w:rPr>
            <w:t>Porsche</w:t>
          </w:r>
        </w:p>
        <w:p w14:paraId="4DEFBAE4" w14:textId="77777777" w:rsidR="00B376AD" w:rsidRPr="00E12743" w:rsidRDefault="00B376AD" w:rsidP="00FF71BE">
          <w:pPr>
            <w:pStyle w:val="PAGFooter"/>
            <w:tabs>
              <w:tab w:val="right" w:pos="1858"/>
            </w:tabs>
          </w:pPr>
          <w:r w:rsidRPr="005C4B73">
            <w:t>Porsche Newsroom</w:t>
          </w:r>
          <w:r w:rsidRPr="005C4B73">
            <w:tab/>
          </w:r>
        </w:p>
        <w:p w14:paraId="00E190AD" w14:textId="77777777" w:rsidR="00B376AD" w:rsidRPr="00E12743" w:rsidRDefault="00B376AD" w:rsidP="00FF71BE">
          <w:pPr>
            <w:pStyle w:val="PAGFooter"/>
          </w:pPr>
          <w:r>
            <w:rPr>
              <w:lang w:val="en"/>
            </w:rPr>
            <w:t>Persona de contacto</w:t>
          </w:r>
        </w:p>
      </w:tc>
      <w:tc>
        <w:tcPr>
          <w:tcW w:w="2123" w:type="dxa"/>
          <w:shd w:val="clear" w:color="auto" w:fill="auto"/>
        </w:tcPr>
        <w:p w14:paraId="6877FA23" w14:textId="77777777" w:rsidR="00B376AD" w:rsidRDefault="00B376AD" w:rsidP="00FF71BE">
          <w:pPr>
            <w:pStyle w:val="PAGFooter"/>
          </w:pPr>
        </w:p>
        <w:p w14:paraId="5DC400E2" w14:textId="77777777" w:rsidR="00B376AD" w:rsidRPr="00E12743" w:rsidRDefault="00B376AD" w:rsidP="00FF71BE">
          <w:pPr>
            <w:pStyle w:val="PAGFooter"/>
          </w:pPr>
          <w:r w:rsidRPr="005C4B73">
            <w:t>https://media.porsche.com</w:t>
          </w:r>
        </w:p>
        <w:p w14:paraId="4362C02F" w14:textId="77777777" w:rsidR="00B376AD" w:rsidRPr="00E12743" w:rsidRDefault="00B376AD" w:rsidP="00FF71BE">
          <w:pPr>
            <w:pStyle w:val="PAGFooter"/>
          </w:pPr>
          <w:r w:rsidRPr="005C4B73">
            <w:t>https://newsroom.porsche.com</w:t>
          </w:r>
        </w:p>
        <w:p w14:paraId="3E739BFF" w14:textId="77777777" w:rsidR="00B376AD" w:rsidRPr="00E12743" w:rsidRDefault="00B376AD" w:rsidP="00FF71BE">
          <w:pPr>
            <w:pStyle w:val="PAGFooter"/>
          </w:pPr>
          <w:r w:rsidRPr="005C4B73">
            <w:t>http://porsche-qr.de/contacts</w:t>
          </w:r>
        </w:p>
      </w:tc>
    </w:tr>
  </w:tbl>
  <w:p w14:paraId="193C919D" w14:textId="77777777" w:rsidR="00B376AD" w:rsidRPr="00E12743" w:rsidRDefault="00B376AD" w:rsidP="00E12743">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71F64" w14:textId="77777777" w:rsidR="007D1719" w:rsidRDefault="007D17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1ECC3" w14:textId="77777777" w:rsidR="00021017" w:rsidRDefault="00021017" w:rsidP="007A4479">
      <w:r>
        <w:separator/>
      </w:r>
    </w:p>
  </w:footnote>
  <w:footnote w:type="continuationSeparator" w:id="0">
    <w:p w14:paraId="30548653" w14:textId="77777777" w:rsidR="00021017" w:rsidRDefault="00021017" w:rsidP="007A4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30D18" w14:textId="77777777" w:rsidR="00B376AD" w:rsidRDefault="00B376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EEFD7" w14:textId="46C6C7C0" w:rsidR="00B376AD" w:rsidRPr="00A15C40" w:rsidRDefault="00B376AD" w:rsidP="00A15C40">
    <w:pPr>
      <w:pStyle w:val="Kopfzeile"/>
      <w:pBdr>
        <w:bottom w:val="single" w:sz="4" w:space="1" w:color="auto"/>
      </w:pBdr>
      <w:jc w:val="right"/>
      <w:rPr>
        <w:rFonts w:ascii="Porsche Next TT" w:hAnsi="Porsche Next TT" w:cs="Porsche Next TT"/>
      </w:rPr>
    </w:pPr>
    <w:r>
      <w:rPr>
        <w:lang w:val="en"/>
      </w:rPr>
      <w:tab/>
    </w:r>
    <w:r>
      <w:rPr>
        <w:lang w:val="en"/>
      </w:rPr>
      <w:fldChar w:fldCharType="begin"/>
    </w:r>
    <w:r>
      <w:rPr>
        <w:lang w:val="en"/>
      </w:rPr>
      <w:instrText>PAGE   \* MERGEFORMAT</w:instrText>
    </w:r>
    <w:r>
      <w:rPr>
        <w:lang w:val="en"/>
      </w:rPr>
      <w:fldChar w:fldCharType="separate"/>
    </w:r>
    <w:r>
      <w:rPr>
        <w:rFonts w:ascii="Arial" w:hAnsi="Arial"/>
        <w:noProof/>
        <w:sz w:val="20"/>
        <w:lang w:val="en"/>
      </w:rPr>
      <w:t>7</w:t>
    </w:r>
    <w:r>
      <w:rPr>
        <w:noProof/>
        <w:sz w:val="20"/>
        <w:lang w:val="e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9BA92" w14:textId="77777777" w:rsidR="00B376AD" w:rsidRDefault="00B376AD" w:rsidP="00FF71BE">
    <w:pPr>
      <w:pStyle w:val="PAGParagraphNormal"/>
      <w:jc w:val="center"/>
    </w:pPr>
  </w:p>
  <w:p w14:paraId="5197338D" w14:textId="77777777" w:rsidR="00B376AD" w:rsidRDefault="00B376AD" w:rsidP="00FF71BE">
    <w:pPr>
      <w:pStyle w:val="PAGParagraphNormal"/>
      <w:jc w:val="center"/>
    </w:pPr>
  </w:p>
  <w:p w14:paraId="30A19120" w14:textId="427DB0FF" w:rsidR="00B376AD" w:rsidRDefault="00B376AD" w:rsidP="00FF71BE">
    <w:pPr>
      <w:pStyle w:val="PAGParagraphNormal"/>
      <w:jc w:val="center"/>
    </w:pPr>
    <w:r>
      <w:rPr>
        <w:noProof/>
        <w:lang w:val="en"/>
      </w:rPr>
      <w:drawing>
        <wp:inline distT="0" distB="0" distL="0" distR="0" wp14:anchorId="2513D112" wp14:editId="4A29D92F">
          <wp:extent cx="1428750" cy="711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11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9B45E58"/>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36121B84"/>
    <w:multiLevelType w:val="multilevel"/>
    <w:tmpl w:val="570E49C8"/>
    <w:lvl w:ilvl="0">
      <w:start w:val="1"/>
      <w:numFmt w:val="decimal"/>
      <w:lvlText w:val="%1."/>
      <w:lvlJc w:val="left"/>
      <w:pPr>
        <w:tabs>
          <w:tab w:val="num" w:pos="851"/>
        </w:tabs>
        <w:ind w:left="851" w:hanging="851"/>
      </w:pPr>
      <w:rPr>
        <w:rFonts w:ascii="Porsche Franklin Gothic Cond" w:hAnsi="Porsche Franklin Gothic Cond" w:hint="default"/>
        <w:b w:val="0"/>
        <w:i w:val="0"/>
        <w:sz w:val="48"/>
        <w:szCs w:val="48"/>
      </w:rPr>
    </w:lvl>
    <w:lvl w:ilvl="1">
      <w:start w:val="1"/>
      <w:numFmt w:val="decimal"/>
      <w:pStyle w:val="Prsent-berschrift2"/>
      <w:isLgl/>
      <w:lvlText w:val="%1.%2."/>
      <w:lvlJc w:val="left"/>
      <w:pPr>
        <w:tabs>
          <w:tab w:val="num" w:pos="1134"/>
        </w:tabs>
        <w:ind w:left="1134" w:hanging="1134"/>
      </w:pPr>
      <w:rPr>
        <w:rFonts w:ascii="Porsche Franklin Gothic Cond" w:hAnsi="Porsche Franklin Gothic Cond" w:hint="default"/>
        <w:b w:val="0"/>
        <w:i w:val="0"/>
        <w:sz w:val="40"/>
        <w:szCs w:val="40"/>
      </w:rPr>
    </w:lvl>
    <w:lvl w:ilvl="2">
      <w:start w:val="1"/>
      <w:numFmt w:val="decimal"/>
      <w:pStyle w:val="Prsent-berschrift3"/>
      <w:lvlText w:val="%3.%1.%2."/>
      <w:lvlJc w:val="left"/>
      <w:pPr>
        <w:tabs>
          <w:tab w:val="num" w:pos="1134"/>
        </w:tabs>
        <w:ind w:left="1134" w:hanging="1134"/>
      </w:pPr>
      <w:rPr>
        <w:rFonts w:ascii="Porsche Franklin Gothic Cond" w:hAnsi="Porsche Franklin Gothic Cond" w:hint="default"/>
        <w:b w:val="0"/>
        <w:i w:val="0"/>
        <w:sz w:val="36"/>
        <w:szCs w:val="3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56C92E4D"/>
    <w:multiLevelType w:val="hybridMultilevel"/>
    <w:tmpl w:val="1D48C514"/>
    <w:lvl w:ilvl="0" w:tplc="8C7E33EC">
      <w:start w:val="1"/>
      <w:numFmt w:val="bullet"/>
      <w:pStyle w:val="PAGParagraphListingHighlights"/>
      <w:lvlText w:val=""/>
      <w:lvlJc w:val="left"/>
      <w:pPr>
        <w:ind w:left="360" w:hanging="360"/>
      </w:pPr>
      <w:rPr>
        <w:rFonts w:ascii="Symbol" w:hAnsi="Symbol" w:hint="default"/>
      </w:rPr>
    </w:lvl>
    <w:lvl w:ilvl="1" w:tplc="36D2906E">
      <w:numFmt w:val="bullet"/>
      <w:lvlText w:val="•"/>
      <w:lvlJc w:val="left"/>
      <w:pPr>
        <w:ind w:left="1400" w:hanging="680"/>
      </w:pPr>
      <w:rPr>
        <w:rFonts w:ascii="Arial" w:eastAsia="Noto Sans CJK SC"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9FA1BA3"/>
    <w:multiLevelType w:val="hybridMultilevel"/>
    <w:tmpl w:val="D2300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FFE"/>
    <w:rsid w:val="00001D63"/>
    <w:rsid w:val="00002FFE"/>
    <w:rsid w:val="00021017"/>
    <w:rsid w:val="00023ABA"/>
    <w:rsid w:val="00026997"/>
    <w:rsid w:val="00030519"/>
    <w:rsid w:val="00036377"/>
    <w:rsid w:val="000428D0"/>
    <w:rsid w:val="000461BC"/>
    <w:rsid w:val="00056074"/>
    <w:rsid w:val="000650B2"/>
    <w:rsid w:val="00073267"/>
    <w:rsid w:val="000A22A7"/>
    <w:rsid w:val="000B2C1A"/>
    <w:rsid w:val="000F7B13"/>
    <w:rsid w:val="00112D8C"/>
    <w:rsid w:val="00114DB0"/>
    <w:rsid w:val="00130783"/>
    <w:rsid w:val="001448C3"/>
    <w:rsid w:val="0014744B"/>
    <w:rsid w:val="00147FA7"/>
    <w:rsid w:val="001672C6"/>
    <w:rsid w:val="001719C9"/>
    <w:rsid w:val="001819BB"/>
    <w:rsid w:val="0018706D"/>
    <w:rsid w:val="0018788F"/>
    <w:rsid w:val="001B1E3D"/>
    <w:rsid w:val="001B2BA1"/>
    <w:rsid w:val="001C7390"/>
    <w:rsid w:val="001D7720"/>
    <w:rsid w:val="001E076B"/>
    <w:rsid w:val="001E48A6"/>
    <w:rsid w:val="001E6688"/>
    <w:rsid w:val="001F04E3"/>
    <w:rsid w:val="00202C71"/>
    <w:rsid w:val="00204295"/>
    <w:rsid w:val="002067E3"/>
    <w:rsid w:val="00207FC2"/>
    <w:rsid w:val="002114E4"/>
    <w:rsid w:val="00214707"/>
    <w:rsid w:val="00241F05"/>
    <w:rsid w:val="00254CD6"/>
    <w:rsid w:val="00256D84"/>
    <w:rsid w:val="00275EFE"/>
    <w:rsid w:val="0027764E"/>
    <w:rsid w:val="00284F23"/>
    <w:rsid w:val="0029110C"/>
    <w:rsid w:val="002946A8"/>
    <w:rsid w:val="002A477B"/>
    <w:rsid w:val="002A530E"/>
    <w:rsid w:val="002A59CC"/>
    <w:rsid w:val="002B44A2"/>
    <w:rsid w:val="002B66F2"/>
    <w:rsid w:val="002C7AB2"/>
    <w:rsid w:val="002E54E1"/>
    <w:rsid w:val="002F60F2"/>
    <w:rsid w:val="003004E9"/>
    <w:rsid w:val="003061B5"/>
    <w:rsid w:val="003434BA"/>
    <w:rsid w:val="00345242"/>
    <w:rsid w:val="003514CF"/>
    <w:rsid w:val="00376A41"/>
    <w:rsid w:val="003867B1"/>
    <w:rsid w:val="003A2DBF"/>
    <w:rsid w:val="003B09F5"/>
    <w:rsid w:val="003C1B84"/>
    <w:rsid w:val="003C5A4A"/>
    <w:rsid w:val="003D4A05"/>
    <w:rsid w:val="003F20ED"/>
    <w:rsid w:val="00407720"/>
    <w:rsid w:val="00417604"/>
    <w:rsid w:val="00426D6A"/>
    <w:rsid w:val="00432358"/>
    <w:rsid w:val="00452803"/>
    <w:rsid w:val="00452EC0"/>
    <w:rsid w:val="004533E1"/>
    <w:rsid w:val="00455A04"/>
    <w:rsid w:val="00461669"/>
    <w:rsid w:val="0046686D"/>
    <w:rsid w:val="00497DDA"/>
    <w:rsid w:val="004B39BE"/>
    <w:rsid w:val="004D1175"/>
    <w:rsid w:val="004D1F15"/>
    <w:rsid w:val="00512C42"/>
    <w:rsid w:val="005469CA"/>
    <w:rsid w:val="00570BC6"/>
    <w:rsid w:val="005731FF"/>
    <w:rsid w:val="0057544F"/>
    <w:rsid w:val="005767EA"/>
    <w:rsid w:val="0058073B"/>
    <w:rsid w:val="00582070"/>
    <w:rsid w:val="00583908"/>
    <w:rsid w:val="005C3137"/>
    <w:rsid w:val="005C4B73"/>
    <w:rsid w:val="005C568F"/>
    <w:rsid w:val="005D396C"/>
    <w:rsid w:val="005E1F80"/>
    <w:rsid w:val="005E362E"/>
    <w:rsid w:val="005E3732"/>
    <w:rsid w:val="00602F72"/>
    <w:rsid w:val="00614673"/>
    <w:rsid w:val="00623D1A"/>
    <w:rsid w:val="00654406"/>
    <w:rsid w:val="00661C5C"/>
    <w:rsid w:val="00664508"/>
    <w:rsid w:val="00670090"/>
    <w:rsid w:val="00670241"/>
    <w:rsid w:val="006835E3"/>
    <w:rsid w:val="006978C6"/>
    <w:rsid w:val="006A1BB8"/>
    <w:rsid w:val="006A2256"/>
    <w:rsid w:val="006C2A90"/>
    <w:rsid w:val="006C43C7"/>
    <w:rsid w:val="006C4C7D"/>
    <w:rsid w:val="006E2F2C"/>
    <w:rsid w:val="006E559A"/>
    <w:rsid w:val="006F1219"/>
    <w:rsid w:val="006F4F3E"/>
    <w:rsid w:val="0070035E"/>
    <w:rsid w:val="007169C4"/>
    <w:rsid w:val="00721B87"/>
    <w:rsid w:val="00734C09"/>
    <w:rsid w:val="0073746C"/>
    <w:rsid w:val="007468FA"/>
    <w:rsid w:val="00754695"/>
    <w:rsid w:val="00755B2F"/>
    <w:rsid w:val="007647FB"/>
    <w:rsid w:val="0077433F"/>
    <w:rsid w:val="007746C5"/>
    <w:rsid w:val="00775EEE"/>
    <w:rsid w:val="00782194"/>
    <w:rsid w:val="007A1A4A"/>
    <w:rsid w:val="007A4479"/>
    <w:rsid w:val="007B1CB2"/>
    <w:rsid w:val="007D1719"/>
    <w:rsid w:val="007F0062"/>
    <w:rsid w:val="007F3345"/>
    <w:rsid w:val="00806768"/>
    <w:rsid w:val="008106F3"/>
    <w:rsid w:val="0082502C"/>
    <w:rsid w:val="00825EFE"/>
    <w:rsid w:val="00826399"/>
    <w:rsid w:val="008359F7"/>
    <w:rsid w:val="008437E1"/>
    <w:rsid w:val="0086373A"/>
    <w:rsid w:val="0086452A"/>
    <w:rsid w:val="00874FE4"/>
    <w:rsid w:val="00885AC9"/>
    <w:rsid w:val="00886430"/>
    <w:rsid w:val="008944F5"/>
    <w:rsid w:val="008A3588"/>
    <w:rsid w:val="008C03E2"/>
    <w:rsid w:val="008F7797"/>
    <w:rsid w:val="00907EB3"/>
    <w:rsid w:val="00910E02"/>
    <w:rsid w:val="0091274A"/>
    <w:rsid w:val="0093000D"/>
    <w:rsid w:val="00941EC8"/>
    <w:rsid w:val="009A49F8"/>
    <w:rsid w:val="009B5E23"/>
    <w:rsid w:val="00A07AE5"/>
    <w:rsid w:val="00A15C40"/>
    <w:rsid w:val="00A46D54"/>
    <w:rsid w:val="00A50943"/>
    <w:rsid w:val="00A526BC"/>
    <w:rsid w:val="00AA782C"/>
    <w:rsid w:val="00AD2FF5"/>
    <w:rsid w:val="00AE488C"/>
    <w:rsid w:val="00AF5911"/>
    <w:rsid w:val="00AF60F5"/>
    <w:rsid w:val="00B17CC6"/>
    <w:rsid w:val="00B233CC"/>
    <w:rsid w:val="00B31CC3"/>
    <w:rsid w:val="00B376AD"/>
    <w:rsid w:val="00B633EC"/>
    <w:rsid w:val="00B774B2"/>
    <w:rsid w:val="00B808BD"/>
    <w:rsid w:val="00B9427E"/>
    <w:rsid w:val="00B9564B"/>
    <w:rsid w:val="00BB2487"/>
    <w:rsid w:val="00BB3C5E"/>
    <w:rsid w:val="00BC2636"/>
    <w:rsid w:val="00BE2C96"/>
    <w:rsid w:val="00BF2D3E"/>
    <w:rsid w:val="00BF66C7"/>
    <w:rsid w:val="00BF66F3"/>
    <w:rsid w:val="00C00DC8"/>
    <w:rsid w:val="00C15AEE"/>
    <w:rsid w:val="00C17D38"/>
    <w:rsid w:val="00C262D3"/>
    <w:rsid w:val="00C332E0"/>
    <w:rsid w:val="00C46E59"/>
    <w:rsid w:val="00C46FC8"/>
    <w:rsid w:val="00C653DD"/>
    <w:rsid w:val="00C666CD"/>
    <w:rsid w:val="00C84E4A"/>
    <w:rsid w:val="00C853C1"/>
    <w:rsid w:val="00CB04A3"/>
    <w:rsid w:val="00CB56B3"/>
    <w:rsid w:val="00CE1508"/>
    <w:rsid w:val="00D04778"/>
    <w:rsid w:val="00D15007"/>
    <w:rsid w:val="00D16842"/>
    <w:rsid w:val="00D1794B"/>
    <w:rsid w:val="00D2766B"/>
    <w:rsid w:val="00D30696"/>
    <w:rsid w:val="00D35914"/>
    <w:rsid w:val="00D5482F"/>
    <w:rsid w:val="00D618E8"/>
    <w:rsid w:val="00D64193"/>
    <w:rsid w:val="00D75554"/>
    <w:rsid w:val="00D77296"/>
    <w:rsid w:val="00D97815"/>
    <w:rsid w:val="00DA63BD"/>
    <w:rsid w:val="00DA670D"/>
    <w:rsid w:val="00DB5319"/>
    <w:rsid w:val="00DD2361"/>
    <w:rsid w:val="00DD672F"/>
    <w:rsid w:val="00DF06BF"/>
    <w:rsid w:val="00E12743"/>
    <w:rsid w:val="00E55D08"/>
    <w:rsid w:val="00E70553"/>
    <w:rsid w:val="00E71476"/>
    <w:rsid w:val="00E8485A"/>
    <w:rsid w:val="00E877B5"/>
    <w:rsid w:val="00EC57D6"/>
    <w:rsid w:val="00EC603A"/>
    <w:rsid w:val="00ED7EE4"/>
    <w:rsid w:val="00EE6E97"/>
    <w:rsid w:val="00EF1B5C"/>
    <w:rsid w:val="00EF7A31"/>
    <w:rsid w:val="00F07EE2"/>
    <w:rsid w:val="00F248C0"/>
    <w:rsid w:val="00F61A8F"/>
    <w:rsid w:val="00F63903"/>
    <w:rsid w:val="00F653C0"/>
    <w:rsid w:val="00F7705D"/>
    <w:rsid w:val="00F7752E"/>
    <w:rsid w:val="00F85777"/>
    <w:rsid w:val="00F86A56"/>
    <w:rsid w:val="00FA16D8"/>
    <w:rsid w:val="00FA766A"/>
    <w:rsid w:val="00FB0F78"/>
    <w:rsid w:val="00FB13EA"/>
    <w:rsid w:val="00FF71B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DEB755F"/>
  <w15:docId w15:val="{2AC4F960-227D-4F69-9DCD-17CE39AD8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5242"/>
    <w:pPr>
      <w:suppressAutoHyphens/>
    </w:pPr>
    <w:rPr>
      <w:rFonts w:ascii="Liberation Serif" w:eastAsia="Noto Sans CJK SC" w:hAnsi="Liberation Serif" w:cs="Lohit Devanagari"/>
      <w:kern w:val="1"/>
      <w:sz w:val="24"/>
      <w:szCs w:val="24"/>
      <w:lang w:eastAsia="zh-CN" w:bidi="hi-IN"/>
    </w:rPr>
  </w:style>
  <w:style w:type="paragraph" w:styleId="berschrift1">
    <w:name w:val="heading 1"/>
    <w:basedOn w:val="Standard"/>
    <w:next w:val="Standard"/>
    <w:link w:val="berschrift1Zchn1"/>
    <w:qFormat/>
    <w:rsid w:val="00BF66F3"/>
    <w:pPr>
      <w:keepNext/>
      <w:numPr>
        <w:numId w:val="1"/>
      </w:numPr>
      <w:spacing w:before="240" w:after="60"/>
      <w:outlineLvl w:val="0"/>
    </w:pPr>
    <w:rPr>
      <w:rFonts w:ascii="Calibri Light" w:eastAsia="Times New Roman" w:hAnsi="Calibri Light" w:cs="Mangal"/>
      <w:b/>
      <w:bCs/>
      <w:sz w:val="32"/>
      <w:szCs w:val="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BF66F3"/>
    <w:rPr>
      <w:rFonts w:ascii="Symbol" w:hAnsi="Symbol" w:cs="Symbol" w:hint="default"/>
    </w:rPr>
  </w:style>
  <w:style w:type="character" w:customStyle="1" w:styleId="WW8Num1z1">
    <w:name w:val="WW8Num1z1"/>
    <w:rsid w:val="00BF66F3"/>
    <w:rPr>
      <w:rFonts w:ascii="Courier New" w:hAnsi="Courier New" w:cs="Courier New" w:hint="default"/>
    </w:rPr>
  </w:style>
  <w:style w:type="character" w:customStyle="1" w:styleId="WW8Num1z2">
    <w:name w:val="WW8Num1z2"/>
    <w:rsid w:val="00BF66F3"/>
    <w:rPr>
      <w:rFonts w:ascii="Wingdings" w:hAnsi="Wingdings" w:cs="Wingdings" w:hint="default"/>
    </w:rPr>
  </w:style>
  <w:style w:type="character" w:customStyle="1" w:styleId="WW8Num2z0">
    <w:name w:val="WW8Num2z0"/>
    <w:rsid w:val="00BF66F3"/>
    <w:rPr>
      <w:rFonts w:ascii="Wingdings" w:eastAsia="Noto Sans CJK SC" w:hAnsi="Wingdings" w:cs="Arial" w:hint="default"/>
    </w:rPr>
  </w:style>
  <w:style w:type="character" w:customStyle="1" w:styleId="WW8Num2z1">
    <w:name w:val="WW8Num2z1"/>
    <w:rsid w:val="00BF66F3"/>
    <w:rPr>
      <w:rFonts w:ascii="Courier New" w:hAnsi="Courier New" w:cs="Courier New" w:hint="default"/>
    </w:rPr>
  </w:style>
  <w:style w:type="character" w:customStyle="1" w:styleId="WW8Num2z2">
    <w:name w:val="WW8Num2z2"/>
    <w:rsid w:val="00BF66F3"/>
    <w:rPr>
      <w:rFonts w:ascii="Wingdings" w:hAnsi="Wingdings" w:cs="Wingdings" w:hint="default"/>
    </w:rPr>
  </w:style>
  <w:style w:type="character" w:customStyle="1" w:styleId="WW8Num2z3">
    <w:name w:val="WW8Num2z3"/>
    <w:rsid w:val="00BF66F3"/>
    <w:rPr>
      <w:rFonts w:ascii="Symbol" w:hAnsi="Symbol" w:cs="Symbol" w:hint="default"/>
    </w:rPr>
  </w:style>
  <w:style w:type="character" w:customStyle="1" w:styleId="Absatz-Standardschriftart2">
    <w:name w:val="Absatz-Standardschriftart2"/>
    <w:rsid w:val="00BF66F3"/>
  </w:style>
  <w:style w:type="character" w:customStyle="1" w:styleId="Absatz-Standardschriftart1">
    <w:name w:val="Absatz-Standardschriftart1"/>
    <w:rsid w:val="00BF66F3"/>
  </w:style>
  <w:style w:type="character" w:customStyle="1" w:styleId="Aufzhlungszeichen1">
    <w:name w:val="Aufzählungszeichen1"/>
    <w:rsid w:val="00BF66F3"/>
    <w:rPr>
      <w:rFonts w:ascii="OpenSymbol" w:eastAsia="OpenSymbol" w:hAnsi="OpenSymbol" w:cs="OpenSymbol"/>
    </w:rPr>
  </w:style>
  <w:style w:type="character" w:styleId="Hyperlink">
    <w:name w:val="Hyperlink"/>
    <w:uiPriority w:val="99"/>
    <w:rsid w:val="007A4479"/>
    <w:rPr>
      <w:rFonts w:ascii="Arial" w:hAnsi="Arial"/>
      <w:color w:val="000080"/>
      <w:sz w:val="20"/>
      <w:u w:val="single"/>
    </w:rPr>
  </w:style>
  <w:style w:type="character" w:styleId="Fett">
    <w:name w:val="Strong"/>
    <w:uiPriority w:val="22"/>
    <w:qFormat/>
    <w:rsid w:val="00BF66F3"/>
    <w:rPr>
      <w:b/>
      <w:bCs/>
    </w:rPr>
  </w:style>
  <w:style w:type="character" w:customStyle="1" w:styleId="SprechblasentextZchn">
    <w:name w:val="Sprechblasentext Zchn"/>
    <w:rsid w:val="00BF66F3"/>
    <w:rPr>
      <w:rFonts w:ascii="Segoe UI" w:eastAsia="Noto Sans CJK SC" w:hAnsi="Segoe UI" w:cs="Mangal"/>
      <w:kern w:val="1"/>
      <w:sz w:val="18"/>
      <w:szCs w:val="16"/>
      <w:lang w:eastAsia="zh-CN" w:bidi="hi-IN"/>
    </w:rPr>
  </w:style>
  <w:style w:type="character" w:customStyle="1" w:styleId="Kommentarzeichen1">
    <w:name w:val="Kommentarzeichen1"/>
    <w:rsid w:val="00BF66F3"/>
    <w:rPr>
      <w:sz w:val="16"/>
      <w:szCs w:val="16"/>
    </w:rPr>
  </w:style>
  <w:style w:type="character" w:customStyle="1" w:styleId="KommentartextZchn">
    <w:name w:val="Kommentartext Zchn"/>
    <w:link w:val="Kommentartext"/>
    <w:uiPriority w:val="99"/>
    <w:rsid w:val="00BF66F3"/>
    <w:rPr>
      <w:rFonts w:ascii="Liberation Serif" w:eastAsia="Noto Sans CJK SC" w:hAnsi="Liberation Serif" w:cs="Mangal"/>
      <w:kern w:val="1"/>
      <w:szCs w:val="18"/>
      <w:lang w:eastAsia="zh-CN" w:bidi="hi-IN"/>
    </w:rPr>
  </w:style>
  <w:style w:type="character" w:customStyle="1" w:styleId="KommentarthemaZchn">
    <w:name w:val="Kommentarthema Zchn"/>
    <w:rsid w:val="00BF66F3"/>
    <w:rPr>
      <w:rFonts w:ascii="Liberation Serif" w:eastAsia="Noto Sans CJK SC" w:hAnsi="Liberation Serif" w:cs="Mangal"/>
      <w:b/>
      <w:bCs/>
      <w:kern w:val="1"/>
      <w:szCs w:val="18"/>
      <w:lang w:eastAsia="zh-CN" w:bidi="hi-IN"/>
    </w:rPr>
  </w:style>
  <w:style w:type="character" w:customStyle="1" w:styleId="berschrift1Zchn">
    <w:name w:val="Überschrift 1 Zchn"/>
    <w:rsid w:val="00BF66F3"/>
    <w:rPr>
      <w:rFonts w:ascii="Calibri Light" w:eastAsia="Times New Roman" w:hAnsi="Calibri Light" w:cs="Mangal"/>
      <w:b/>
      <w:bCs/>
      <w:kern w:val="1"/>
      <w:sz w:val="32"/>
      <w:szCs w:val="29"/>
      <w:lang w:eastAsia="zh-CN" w:bidi="hi-IN"/>
    </w:rPr>
  </w:style>
  <w:style w:type="paragraph" w:customStyle="1" w:styleId="berschrift">
    <w:name w:val="Überschrift"/>
    <w:basedOn w:val="Standard"/>
    <w:next w:val="Textkrper"/>
    <w:rsid w:val="00BF66F3"/>
    <w:pPr>
      <w:keepNext/>
      <w:spacing w:before="240" w:after="120"/>
    </w:pPr>
    <w:rPr>
      <w:rFonts w:ascii="Liberation Sans" w:hAnsi="Liberation Sans"/>
      <w:sz w:val="28"/>
      <w:szCs w:val="28"/>
    </w:rPr>
  </w:style>
  <w:style w:type="paragraph" w:styleId="Textkrper">
    <w:name w:val="Body Text"/>
    <w:basedOn w:val="Standard"/>
    <w:rsid w:val="00BF66F3"/>
    <w:pPr>
      <w:spacing w:after="140" w:line="276" w:lineRule="auto"/>
    </w:pPr>
  </w:style>
  <w:style w:type="paragraph" w:styleId="Liste">
    <w:name w:val="List"/>
    <w:basedOn w:val="Textkrper"/>
    <w:rsid w:val="00BF66F3"/>
  </w:style>
  <w:style w:type="paragraph" w:styleId="Beschriftung">
    <w:name w:val="caption"/>
    <w:basedOn w:val="Standard"/>
    <w:qFormat/>
    <w:rsid w:val="00BF66F3"/>
    <w:pPr>
      <w:suppressLineNumbers/>
      <w:spacing w:before="120" w:after="120"/>
    </w:pPr>
    <w:rPr>
      <w:i/>
      <w:iCs/>
    </w:rPr>
  </w:style>
  <w:style w:type="paragraph" w:customStyle="1" w:styleId="Verzeichnis">
    <w:name w:val="Verzeichnis"/>
    <w:basedOn w:val="Standard"/>
    <w:rsid w:val="00BF66F3"/>
    <w:pPr>
      <w:suppressLineNumbers/>
    </w:pPr>
  </w:style>
  <w:style w:type="paragraph" w:customStyle="1" w:styleId="Presse-Standard">
    <w:name w:val="Presse-Standard"/>
    <w:basedOn w:val="Standard"/>
    <w:rsid w:val="00BF66F3"/>
    <w:pPr>
      <w:spacing w:line="360" w:lineRule="auto"/>
      <w:jc w:val="both"/>
    </w:pPr>
    <w:rPr>
      <w:rFonts w:ascii="Arial" w:hAnsi="Arial" w:cs="Arial"/>
      <w:bCs/>
    </w:rPr>
  </w:style>
  <w:style w:type="paragraph" w:styleId="Sprechblasentext">
    <w:name w:val="Balloon Text"/>
    <w:basedOn w:val="Standard"/>
    <w:rsid w:val="00BF66F3"/>
    <w:rPr>
      <w:rFonts w:ascii="Segoe UI" w:hAnsi="Segoe UI" w:cs="Mangal"/>
      <w:sz w:val="18"/>
      <w:szCs w:val="16"/>
    </w:rPr>
  </w:style>
  <w:style w:type="paragraph" w:customStyle="1" w:styleId="Kommentartext1">
    <w:name w:val="Kommentartext1"/>
    <w:basedOn w:val="Standard"/>
    <w:rsid w:val="00BF66F3"/>
    <w:rPr>
      <w:rFonts w:cs="Mangal"/>
      <w:sz w:val="20"/>
      <w:szCs w:val="18"/>
    </w:rPr>
  </w:style>
  <w:style w:type="paragraph" w:styleId="Kommentarthema">
    <w:name w:val="annotation subject"/>
    <w:basedOn w:val="Kommentartext1"/>
    <w:next w:val="Kommentartext1"/>
    <w:rsid w:val="00BF66F3"/>
    <w:rPr>
      <w:b/>
      <w:bCs/>
    </w:rPr>
  </w:style>
  <w:style w:type="paragraph" w:styleId="Inhaltsverzeichnisberschrift">
    <w:name w:val="TOC Heading"/>
    <w:basedOn w:val="berschrift1"/>
    <w:next w:val="Standard"/>
    <w:uiPriority w:val="39"/>
    <w:qFormat/>
    <w:rsid w:val="00BF66F3"/>
    <w:pPr>
      <w:keepLines/>
      <w:numPr>
        <w:numId w:val="0"/>
      </w:numPr>
      <w:suppressAutoHyphens w:val="0"/>
      <w:spacing w:after="0" w:line="256" w:lineRule="auto"/>
    </w:pPr>
    <w:rPr>
      <w:rFonts w:cs="Times New Roman"/>
      <w:b w:val="0"/>
      <w:bCs w:val="0"/>
      <w:color w:val="2E74B5"/>
      <w:szCs w:val="32"/>
      <w:lang w:bidi="ar-SA"/>
    </w:rPr>
  </w:style>
  <w:style w:type="paragraph" w:styleId="Verzeichnis2">
    <w:name w:val="toc 2"/>
    <w:basedOn w:val="Standard"/>
    <w:next w:val="Standard"/>
    <w:uiPriority w:val="39"/>
    <w:rsid w:val="007A4479"/>
    <w:pPr>
      <w:suppressAutoHyphens w:val="0"/>
      <w:spacing w:after="100" w:line="256" w:lineRule="auto"/>
      <w:ind w:left="220"/>
    </w:pPr>
    <w:rPr>
      <w:rFonts w:ascii="Arial" w:eastAsia="Times New Roman" w:hAnsi="Arial" w:cs="Times New Roman"/>
      <w:sz w:val="20"/>
      <w:szCs w:val="22"/>
      <w:lang w:bidi="ar-SA"/>
    </w:rPr>
  </w:style>
  <w:style w:type="paragraph" w:styleId="Verzeichnis1">
    <w:name w:val="toc 1"/>
    <w:basedOn w:val="Standard"/>
    <w:next w:val="Standard"/>
    <w:uiPriority w:val="39"/>
    <w:rsid w:val="007A4479"/>
    <w:pPr>
      <w:tabs>
        <w:tab w:val="right" w:leader="dot" w:pos="9628"/>
      </w:tabs>
      <w:suppressAutoHyphens w:val="0"/>
      <w:spacing w:after="100" w:line="256" w:lineRule="auto"/>
    </w:pPr>
    <w:rPr>
      <w:rFonts w:ascii="Arial" w:eastAsia="Times New Roman" w:hAnsi="Arial" w:cs="Arial"/>
      <w:b/>
      <w:color w:val="000000"/>
      <w:szCs w:val="22"/>
      <w:lang w:eastAsia="de-DE" w:bidi="ar-SA"/>
    </w:rPr>
  </w:style>
  <w:style w:type="paragraph" w:styleId="Verzeichnis3">
    <w:name w:val="toc 3"/>
    <w:basedOn w:val="Standard"/>
    <w:next w:val="Standard"/>
    <w:uiPriority w:val="39"/>
    <w:rsid w:val="007A4479"/>
    <w:pPr>
      <w:suppressAutoHyphens w:val="0"/>
      <w:spacing w:after="100" w:line="256" w:lineRule="auto"/>
      <w:ind w:left="440"/>
    </w:pPr>
    <w:rPr>
      <w:rFonts w:ascii="Arial" w:eastAsia="Times New Roman" w:hAnsi="Arial" w:cs="Times New Roman"/>
      <w:sz w:val="20"/>
      <w:szCs w:val="22"/>
      <w:lang w:bidi="ar-SA"/>
    </w:rPr>
  </w:style>
  <w:style w:type="character" w:styleId="Kommentarzeichen">
    <w:name w:val="annotation reference"/>
    <w:semiHidden/>
    <w:unhideWhenUsed/>
    <w:qFormat/>
    <w:rsid w:val="00497DDA"/>
    <w:rPr>
      <w:sz w:val="16"/>
      <w:szCs w:val="16"/>
    </w:rPr>
  </w:style>
  <w:style w:type="paragraph" w:styleId="Kommentartext">
    <w:name w:val="annotation text"/>
    <w:basedOn w:val="Standard"/>
    <w:link w:val="KommentartextZchn"/>
    <w:uiPriority w:val="99"/>
    <w:semiHidden/>
    <w:unhideWhenUsed/>
    <w:rsid w:val="00497DDA"/>
    <w:rPr>
      <w:rFonts w:cs="Mangal"/>
      <w:sz w:val="20"/>
      <w:szCs w:val="18"/>
    </w:rPr>
  </w:style>
  <w:style w:type="character" w:customStyle="1" w:styleId="KommentartextZchn1">
    <w:name w:val="Kommentartext Zchn1"/>
    <w:uiPriority w:val="99"/>
    <w:semiHidden/>
    <w:rsid w:val="00497DDA"/>
    <w:rPr>
      <w:rFonts w:ascii="Liberation Serif" w:eastAsia="Noto Sans CJK SC" w:hAnsi="Liberation Serif" w:cs="Mangal"/>
      <w:kern w:val="1"/>
      <w:szCs w:val="18"/>
      <w:lang w:eastAsia="zh-CN" w:bidi="hi-IN"/>
    </w:rPr>
  </w:style>
  <w:style w:type="paragraph" w:customStyle="1" w:styleId="PAGColumn-Title">
    <w:name w:val="_PAG_Column-Title"/>
    <w:basedOn w:val="berschrift1"/>
    <w:link w:val="PAGColumn-TitleZchn"/>
    <w:qFormat/>
    <w:rsid w:val="007169C4"/>
    <w:pPr>
      <w:pageBreakBefore/>
    </w:pPr>
    <w:rPr>
      <w:rFonts w:ascii="Arial" w:hAnsi="Arial" w:cs="Arial"/>
      <w:b w:val="0"/>
      <w:sz w:val="20"/>
      <w:szCs w:val="20"/>
      <w:u w:val="single"/>
    </w:rPr>
  </w:style>
  <w:style w:type="paragraph" w:customStyle="1" w:styleId="PAGHeadline-1-Chapter">
    <w:name w:val="_PAG_Headline-1-(Chapter)"/>
    <w:basedOn w:val="berschrift1"/>
    <w:next w:val="PAGParagraphNormal"/>
    <w:link w:val="PAGHeadline-1-ChapterZchn"/>
    <w:qFormat/>
    <w:rsid w:val="00ED7EE4"/>
    <w:pPr>
      <w:spacing w:after="360"/>
      <w:ind w:left="0" w:firstLine="0"/>
    </w:pPr>
    <w:rPr>
      <w:rFonts w:ascii="Arial" w:hAnsi="Arial" w:cs="Arial"/>
      <w:kern w:val="32"/>
    </w:rPr>
  </w:style>
  <w:style w:type="character" w:customStyle="1" w:styleId="berschrift1Zchn1">
    <w:name w:val="Überschrift 1 Zchn1"/>
    <w:link w:val="berschrift1"/>
    <w:rsid w:val="007169C4"/>
    <w:rPr>
      <w:rFonts w:ascii="Calibri Light" w:hAnsi="Calibri Light" w:cs="Mangal"/>
      <w:b/>
      <w:bCs/>
      <w:kern w:val="1"/>
      <w:sz w:val="32"/>
      <w:szCs w:val="29"/>
      <w:lang w:eastAsia="zh-CN" w:bidi="hi-IN"/>
    </w:rPr>
  </w:style>
  <w:style w:type="character" w:customStyle="1" w:styleId="PAGColumn-TitleZchn">
    <w:name w:val="_PAG_Column-Title Zchn"/>
    <w:link w:val="PAGColumn-Title"/>
    <w:rsid w:val="007169C4"/>
    <w:rPr>
      <w:rFonts w:ascii="Arial" w:hAnsi="Arial" w:cs="Arial"/>
      <w:b w:val="0"/>
      <w:bCs/>
      <w:kern w:val="1"/>
      <w:sz w:val="32"/>
      <w:szCs w:val="29"/>
      <w:u w:val="single"/>
      <w:lang w:eastAsia="zh-CN" w:bidi="hi-IN"/>
    </w:rPr>
  </w:style>
  <w:style w:type="paragraph" w:customStyle="1" w:styleId="PAGParagraphNormal">
    <w:name w:val="_PAG_Paragraph_Normal"/>
    <w:basedOn w:val="Standard"/>
    <w:link w:val="PAGParagraphNormalZchn"/>
    <w:qFormat/>
    <w:rsid w:val="007169C4"/>
    <w:pPr>
      <w:spacing w:after="240" w:line="360" w:lineRule="auto"/>
      <w:jc w:val="both"/>
    </w:pPr>
    <w:rPr>
      <w:rFonts w:ascii="Arial" w:hAnsi="Arial" w:cs="Arial"/>
    </w:rPr>
  </w:style>
  <w:style w:type="character" w:customStyle="1" w:styleId="PAGHeadline-1-ChapterZchn">
    <w:name w:val="_PAG_Headline-1-(Chapter) Zchn"/>
    <w:link w:val="PAGHeadline-1-Chapter"/>
    <w:rsid w:val="00ED7EE4"/>
    <w:rPr>
      <w:rFonts w:ascii="Arial" w:hAnsi="Arial" w:cs="Arial"/>
      <w:b/>
      <w:bCs/>
      <w:kern w:val="32"/>
      <w:sz w:val="32"/>
      <w:szCs w:val="29"/>
      <w:lang w:eastAsia="zh-CN" w:bidi="hi-IN"/>
    </w:rPr>
  </w:style>
  <w:style w:type="paragraph" w:customStyle="1" w:styleId="PAGHeadline-2-Section">
    <w:name w:val="_PAG_Headline-2-(Section)"/>
    <w:basedOn w:val="PAGParagraphNormal"/>
    <w:link w:val="PAGHeadline-2-SectionZchn"/>
    <w:qFormat/>
    <w:rsid w:val="00ED7EE4"/>
    <w:pPr>
      <w:keepNext/>
      <w:keepLines/>
      <w:spacing w:after="0"/>
    </w:pPr>
    <w:rPr>
      <w:b/>
      <w:bCs/>
    </w:rPr>
  </w:style>
  <w:style w:type="character" w:customStyle="1" w:styleId="PAGParagraphNormalZchn">
    <w:name w:val="_PAG_Paragraph_Normal Zchn"/>
    <w:link w:val="PAGParagraphNormal"/>
    <w:rsid w:val="007169C4"/>
    <w:rPr>
      <w:rFonts w:ascii="Arial" w:eastAsia="Noto Sans CJK SC" w:hAnsi="Arial" w:cs="Arial"/>
      <w:kern w:val="1"/>
      <w:sz w:val="24"/>
      <w:szCs w:val="24"/>
      <w:lang w:eastAsia="zh-CN" w:bidi="hi-IN"/>
    </w:rPr>
  </w:style>
  <w:style w:type="paragraph" w:customStyle="1" w:styleId="PAGParagraphListingHighlights">
    <w:name w:val="_PAG_Paragraph_Listing_Highlights"/>
    <w:basedOn w:val="PAGHeadline-2-Section"/>
    <w:link w:val="PAGParagraphListingHighlightsZchn"/>
    <w:qFormat/>
    <w:rsid w:val="007169C4"/>
    <w:pPr>
      <w:numPr>
        <w:numId w:val="3"/>
      </w:numPr>
      <w:ind w:left="357" w:hanging="357"/>
    </w:pPr>
  </w:style>
  <w:style w:type="character" w:customStyle="1" w:styleId="PAGHeadline-2-SectionZchn">
    <w:name w:val="_PAG_Headline-2-(Section) Zchn"/>
    <w:link w:val="PAGHeadline-2-Section"/>
    <w:rsid w:val="00ED7EE4"/>
    <w:rPr>
      <w:rFonts w:ascii="Arial" w:eastAsia="Noto Sans CJK SC" w:hAnsi="Arial" w:cs="Arial"/>
      <w:b/>
      <w:bCs/>
      <w:kern w:val="1"/>
      <w:sz w:val="24"/>
      <w:szCs w:val="24"/>
      <w:lang w:eastAsia="zh-CN" w:bidi="hi-IN"/>
    </w:rPr>
  </w:style>
  <w:style w:type="paragraph" w:styleId="Kopfzeile">
    <w:name w:val="header"/>
    <w:basedOn w:val="Standard"/>
    <w:link w:val="KopfzeileZchn"/>
    <w:uiPriority w:val="99"/>
    <w:unhideWhenUsed/>
    <w:rsid w:val="007A4479"/>
    <w:pPr>
      <w:tabs>
        <w:tab w:val="center" w:pos="4536"/>
        <w:tab w:val="right" w:pos="9072"/>
      </w:tabs>
    </w:pPr>
    <w:rPr>
      <w:rFonts w:cs="Mangal"/>
      <w:szCs w:val="21"/>
    </w:rPr>
  </w:style>
  <w:style w:type="character" w:customStyle="1" w:styleId="PAGParagraphListingHighlightsZchn">
    <w:name w:val="_PAG_Paragraph_Listing_Highlights Zchn"/>
    <w:link w:val="PAGParagraphListingHighlights"/>
    <w:rsid w:val="007169C4"/>
    <w:rPr>
      <w:rFonts w:ascii="Arial" w:eastAsia="Noto Sans CJK SC" w:hAnsi="Arial" w:cs="Arial"/>
      <w:b/>
      <w:bCs/>
      <w:kern w:val="1"/>
      <w:sz w:val="24"/>
      <w:szCs w:val="24"/>
      <w:lang w:eastAsia="zh-CN" w:bidi="hi-IN"/>
    </w:rPr>
  </w:style>
  <w:style w:type="character" w:customStyle="1" w:styleId="KopfzeileZchn">
    <w:name w:val="Kopfzeile Zchn"/>
    <w:link w:val="Kopfzeile"/>
    <w:uiPriority w:val="99"/>
    <w:rsid w:val="007A4479"/>
    <w:rPr>
      <w:rFonts w:ascii="Liberation Serif" w:eastAsia="Noto Sans CJK SC" w:hAnsi="Liberation Serif" w:cs="Mangal"/>
      <w:kern w:val="1"/>
      <w:sz w:val="24"/>
      <w:szCs w:val="21"/>
      <w:lang w:eastAsia="zh-CN" w:bidi="hi-IN"/>
    </w:rPr>
  </w:style>
  <w:style w:type="paragraph" w:styleId="Fuzeile">
    <w:name w:val="footer"/>
    <w:basedOn w:val="Standard"/>
    <w:link w:val="FuzeileZchn"/>
    <w:uiPriority w:val="99"/>
    <w:unhideWhenUsed/>
    <w:rsid w:val="007A4479"/>
    <w:pPr>
      <w:tabs>
        <w:tab w:val="center" w:pos="4536"/>
        <w:tab w:val="right" w:pos="9072"/>
      </w:tabs>
    </w:pPr>
    <w:rPr>
      <w:rFonts w:cs="Mangal"/>
      <w:szCs w:val="21"/>
    </w:rPr>
  </w:style>
  <w:style w:type="character" w:customStyle="1" w:styleId="FuzeileZchn">
    <w:name w:val="Fußzeile Zchn"/>
    <w:link w:val="Fuzeile"/>
    <w:uiPriority w:val="99"/>
    <w:rsid w:val="007A4479"/>
    <w:rPr>
      <w:rFonts w:ascii="Liberation Serif" w:eastAsia="Noto Sans CJK SC" w:hAnsi="Liberation Serif" w:cs="Mangal"/>
      <w:kern w:val="1"/>
      <w:sz w:val="24"/>
      <w:szCs w:val="21"/>
      <w:lang w:eastAsia="zh-CN" w:bidi="hi-IN"/>
    </w:rPr>
  </w:style>
  <w:style w:type="table" w:styleId="Tabellenraster">
    <w:name w:val="Table Grid"/>
    <w:basedOn w:val="NormaleTabelle"/>
    <w:uiPriority w:val="59"/>
    <w:rsid w:val="00E12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Footer">
    <w:name w:val="_PAG_Footer"/>
    <w:basedOn w:val="Standard"/>
    <w:link w:val="PAGFooterZchn"/>
    <w:qFormat/>
    <w:rsid w:val="00806768"/>
    <w:pPr>
      <w:autoSpaceDE w:val="0"/>
      <w:autoSpaceDN w:val="0"/>
      <w:adjustRightInd w:val="0"/>
    </w:pPr>
    <w:rPr>
      <w:rFonts w:ascii="Arial" w:hAnsi="Arial" w:cs="Arial"/>
      <w:color w:val="6F6F6F"/>
      <w:sz w:val="14"/>
      <w:szCs w:val="14"/>
    </w:rPr>
  </w:style>
  <w:style w:type="paragraph" w:customStyle="1" w:styleId="PAGTitlepage">
    <w:name w:val="_PAG_Titlepage"/>
    <w:basedOn w:val="Standard"/>
    <w:link w:val="PAGTitlepageZchn"/>
    <w:qFormat/>
    <w:rsid w:val="00FF71BE"/>
    <w:pPr>
      <w:spacing w:after="720"/>
      <w:jc w:val="center"/>
    </w:pPr>
    <w:rPr>
      <w:rFonts w:ascii="Arial" w:hAnsi="Arial" w:cs="Arial"/>
      <w:b/>
      <w:sz w:val="56"/>
      <w:szCs w:val="56"/>
      <w:lang w:eastAsia="de-DE" w:bidi="ar-SA"/>
    </w:rPr>
  </w:style>
  <w:style w:type="character" w:customStyle="1" w:styleId="PAGFooterZchn">
    <w:name w:val="_PAG_Footer Zchn"/>
    <w:link w:val="PAGFooter"/>
    <w:rsid w:val="00806768"/>
    <w:rPr>
      <w:rFonts w:ascii="Arial" w:eastAsia="Noto Sans CJK SC" w:hAnsi="Arial" w:cs="Arial"/>
      <w:color w:val="6F6F6F"/>
      <w:kern w:val="1"/>
      <w:sz w:val="14"/>
      <w:szCs w:val="14"/>
      <w:lang w:eastAsia="zh-CN" w:bidi="hi-IN"/>
    </w:rPr>
  </w:style>
  <w:style w:type="paragraph" w:styleId="KeinLeerraum">
    <w:name w:val="No Spacing"/>
    <w:link w:val="KeinLeerraumZchn"/>
    <w:uiPriority w:val="1"/>
    <w:qFormat/>
    <w:rsid w:val="00FF71BE"/>
    <w:rPr>
      <w:rFonts w:ascii="Calibri" w:hAnsi="Calibri"/>
      <w:sz w:val="22"/>
      <w:szCs w:val="22"/>
    </w:rPr>
  </w:style>
  <w:style w:type="character" w:customStyle="1" w:styleId="PAGTitlepageZchn">
    <w:name w:val="_PAG_Titlepage Zchn"/>
    <w:link w:val="PAGTitlepage"/>
    <w:rsid w:val="00FF71BE"/>
    <w:rPr>
      <w:rFonts w:ascii="Arial" w:eastAsia="Noto Sans CJK SC" w:hAnsi="Arial" w:cs="Arial"/>
      <w:b/>
      <w:kern w:val="1"/>
      <w:sz w:val="56"/>
      <w:szCs w:val="56"/>
    </w:rPr>
  </w:style>
  <w:style w:type="character" w:customStyle="1" w:styleId="KeinLeerraumZchn">
    <w:name w:val="Kein Leerraum Zchn"/>
    <w:link w:val="KeinLeerraum"/>
    <w:uiPriority w:val="1"/>
    <w:rsid w:val="00FF71BE"/>
    <w:rPr>
      <w:rFonts w:ascii="Calibri" w:hAnsi="Calibri"/>
      <w:sz w:val="22"/>
      <w:szCs w:val="22"/>
    </w:rPr>
  </w:style>
  <w:style w:type="paragraph" w:customStyle="1" w:styleId="Flietext">
    <w:name w:val="Fließtext"/>
    <w:basedOn w:val="Standard"/>
    <w:link w:val="FlietextZchn"/>
    <w:qFormat/>
    <w:rsid w:val="000B2C1A"/>
    <w:pPr>
      <w:suppressAutoHyphens w:val="0"/>
      <w:spacing w:line="216" w:lineRule="auto"/>
    </w:pPr>
    <w:rPr>
      <w:rFonts w:asciiTheme="minorHAnsi" w:eastAsia="Times New Roman" w:hAnsiTheme="minorHAnsi" w:cs="Times New Roman"/>
      <w:kern w:val="0"/>
      <w:lang w:eastAsia="en-US" w:bidi="ar-SA"/>
    </w:rPr>
  </w:style>
  <w:style w:type="character" w:customStyle="1" w:styleId="FlietextZchn">
    <w:name w:val="Fließtext Zchn"/>
    <w:basedOn w:val="Absatz-Standardschriftart"/>
    <w:link w:val="Flietext"/>
    <w:rsid w:val="000B2C1A"/>
    <w:rPr>
      <w:rFonts w:asciiTheme="minorHAnsi" w:hAnsiTheme="minorHAnsi"/>
      <w:sz w:val="24"/>
      <w:szCs w:val="24"/>
      <w:lang w:eastAsia="en-US"/>
    </w:rPr>
  </w:style>
  <w:style w:type="paragraph" w:customStyle="1" w:styleId="Prsent-berschrift2">
    <w:name w:val="Präsent-Überschrift 2"/>
    <w:basedOn w:val="Standard"/>
    <w:next w:val="Standard"/>
    <w:semiHidden/>
    <w:rsid w:val="000B2C1A"/>
    <w:pPr>
      <w:numPr>
        <w:ilvl w:val="1"/>
        <w:numId w:val="4"/>
      </w:numPr>
      <w:suppressAutoHyphens w:val="0"/>
      <w:spacing w:before="240" w:after="120"/>
    </w:pPr>
    <w:rPr>
      <w:rFonts w:ascii="Porsche Next TT" w:eastAsia="Times New Roman" w:hAnsi="Porsche Next TT" w:cs="Times New Roman"/>
      <w:b/>
      <w:kern w:val="0"/>
      <w:sz w:val="36"/>
      <w:lang w:eastAsia="de-DE" w:bidi="ar-SA"/>
    </w:rPr>
  </w:style>
  <w:style w:type="paragraph" w:customStyle="1" w:styleId="Prsent-berschrift3">
    <w:name w:val="Präsent-Überschrift 3"/>
    <w:basedOn w:val="Standard"/>
    <w:next w:val="Standard"/>
    <w:semiHidden/>
    <w:rsid w:val="000B2C1A"/>
    <w:pPr>
      <w:numPr>
        <w:ilvl w:val="2"/>
        <w:numId w:val="4"/>
      </w:numPr>
      <w:suppressAutoHyphens w:val="0"/>
      <w:spacing w:before="240" w:after="120"/>
    </w:pPr>
    <w:rPr>
      <w:rFonts w:ascii="Porsche Next TT" w:eastAsia="Times New Roman" w:hAnsi="Porsche Next TT" w:cs="Times New Roman"/>
      <w:b/>
      <w:kern w:val="0"/>
      <w:sz w:val="32"/>
      <w:lang w:eastAsia="de-DE" w:bidi="ar-SA"/>
    </w:rPr>
  </w:style>
  <w:style w:type="paragraph" w:styleId="StandardWeb">
    <w:name w:val="Normal (Web)"/>
    <w:basedOn w:val="Standard"/>
    <w:uiPriority w:val="99"/>
    <w:semiHidden/>
    <w:unhideWhenUsed/>
    <w:rsid w:val="00512C42"/>
    <w:pPr>
      <w:suppressAutoHyphens w:val="0"/>
      <w:spacing w:before="100" w:beforeAutospacing="1" w:after="100" w:afterAutospacing="1"/>
    </w:pPr>
    <w:rPr>
      <w:rFonts w:ascii="Times New Roman" w:eastAsia="Times New Roman" w:hAnsi="Times New Roman" w:cs="Times New Roman"/>
      <w:kern w:val="0"/>
      <w:lang w:eastAsia="de-DE" w:bidi="ar-SA"/>
    </w:rPr>
  </w:style>
  <w:style w:type="paragraph" w:styleId="berarbeitung">
    <w:name w:val="Revision"/>
    <w:hidden/>
    <w:uiPriority w:val="99"/>
    <w:semiHidden/>
    <w:rsid w:val="00B376AD"/>
    <w:rPr>
      <w:rFonts w:ascii="Liberation Serif" w:eastAsia="Noto Sans CJK SC" w:hAnsi="Liberation Serif" w:cs="Mangal"/>
      <w:kern w:val="1"/>
      <w:sz w:val="24"/>
      <w:szCs w:val="21"/>
      <w:lang w:eastAsia="zh-CN" w:bidi="hi-IN"/>
    </w:rPr>
  </w:style>
  <w:style w:type="paragraph" w:customStyle="1" w:styleId="PmText">
    <w:name w:val="PmText"/>
    <w:basedOn w:val="Standard"/>
    <w:rsid w:val="00623D1A"/>
    <w:pPr>
      <w:suppressAutoHyphens w:val="0"/>
      <w:spacing w:after="400"/>
    </w:pPr>
    <w:rPr>
      <w:rFonts w:ascii="Arial" w:eastAsia="Arial" w:hAnsi="Arial" w:cs="Arial"/>
      <w:kern w:val="0"/>
      <w:lang w:val="en-US"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33902">
      <w:bodyDiv w:val="1"/>
      <w:marLeft w:val="0"/>
      <w:marRight w:val="0"/>
      <w:marTop w:val="0"/>
      <w:marBottom w:val="0"/>
      <w:divBdr>
        <w:top w:val="none" w:sz="0" w:space="0" w:color="auto"/>
        <w:left w:val="none" w:sz="0" w:space="0" w:color="auto"/>
        <w:bottom w:val="none" w:sz="0" w:space="0" w:color="auto"/>
        <w:right w:val="none" w:sz="0" w:space="0" w:color="auto"/>
      </w:divBdr>
    </w:div>
    <w:div w:id="1203636179">
      <w:bodyDiv w:val="1"/>
      <w:marLeft w:val="0"/>
      <w:marRight w:val="0"/>
      <w:marTop w:val="0"/>
      <w:marBottom w:val="0"/>
      <w:divBdr>
        <w:top w:val="none" w:sz="0" w:space="0" w:color="auto"/>
        <w:left w:val="none" w:sz="0" w:space="0" w:color="auto"/>
        <w:bottom w:val="none" w:sz="0" w:space="0" w:color="auto"/>
        <w:right w:val="none" w:sz="0" w:space="0" w:color="auto"/>
      </w:divBdr>
    </w:div>
    <w:div w:id="1607957096">
      <w:bodyDiv w:val="1"/>
      <w:marLeft w:val="0"/>
      <w:marRight w:val="0"/>
      <w:marTop w:val="0"/>
      <w:marBottom w:val="0"/>
      <w:divBdr>
        <w:top w:val="none" w:sz="0" w:space="0" w:color="auto"/>
        <w:left w:val="none" w:sz="0" w:space="0" w:color="auto"/>
        <w:bottom w:val="none" w:sz="0" w:space="0" w:color="auto"/>
        <w:right w:val="none" w:sz="0" w:space="0" w:color="auto"/>
      </w:divBdr>
      <w:divsChild>
        <w:div w:id="514153034">
          <w:marLeft w:val="0"/>
          <w:marRight w:val="0"/>
          <w:marTop w:val="0"/>
          <w:marBottom w:val="0"/>
          <w:divBdr>
            <w:top w:val="none" w:sz="0" w:space="0" w:color="auto"/>
            <w:left w:val="none" w:sz="0" w:space="0" w:color="auto"/>
            <w:bottom w:val="none" w:sz="0" w:space="0" w:color="auto"/>
            <w:right w:val="none" w:sz="0" w:space="0" w:color="auto"/>
          </w:divBdr>
          <w:divsChild>
            <w:div w:id="854075659">
              <w:marLeft w:val="0"/>
              <w:marRight w:val="0"/>
              <w:marTop w:val="0"/>
              <w:marBottom w:val="0"/>
              <w:divBdr>
                <w:top w:val="none" w:sz="0" w:space="0" w:color="auto"/>
                <w:left w:val="none" w:sz="0" w:space="0" w:color="auto"/>
                <w:bottom w:val="none" w:sz="0" w:space="0" w:color="auto"/>
                <w:right w:val="none" w:sz="0" w:space="0" w:color="auto"/>
              </w:divBdr>
              <w:divsChild>
                <w:div w:id="1160346844">
                  <w:marLeft w:val="0"/>
                  <w:marRight w:val="30"/>
                  <w:marTop w:val="60"/>
                  <w:marBottom w:val="60"/>
                  <w:divBdr>
                    <w:top w:val="none" w:sz="0" w:space="0" w:color="auto"/>
                    <w:left w:val="none" w:sz="0" w:space="0" w:color="auto"/>
                    <w:bottom w:val="none" w:sz="0" w:space="0" w:color="auto"/>
                    <w:right w:val="none" w:sz="0" w:space="0" w:color="auto"/>
                  </w:divBdr>
                  <w:divsChild>
                    <w:div w:id="5129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85126">
      <w:bodyDiv w:val="1"/>
      <w:marLeft w:val="0"/>
      <w:marRight w:val="0"/>
      <w:marTop w:val="0"/>
      <w:marBottom w:val="0"/>
      <w:divBdr>
        <w:top w:val="none" w:sz="0" w:space="0" w:color="auto"/>
        <w:left w:val="none" w:sz="0" w:space="0" w:color="auto"/>
        <w:bottom w:val="none" w:sz="0" w:space="0" w:color="auto"/>
        <w:right w:val="none" w:sz="0" w:space="0" w:color="auto"/>
      </w:divBdr>
    </w:div>
    <w:div w:id="19091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17FF7-AD32-4744-8A89-6F70EDE2B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7845</Words>
  <Characters>49428</Characters>
  <Application>Microsoft Office Word</Application>
  <DocSecurity>0</DocSecurity>
  <Lines>411</Lines>
  <Paragraphs>114</Paragraphs>
  <ScaleCrop>false</ScaleCrop>
  <HeadingPairs>
    <vt:vector size="2" baseType="variant">
      <vt:variant>
        <vt:lpstr>Titel</vt:lpstr>
      </vt:variant>
      <vt:variant>
        <vt:i4>1</vt:i4>
      </vt:variant>
    </vt:vector>
  </HeadingPairs>
  <TitlesOfParts>
    <vt:vector size="1" baseType="lpstr">
      <vt:lpstr/>
    </vt:vector>
  </TitlesOfParts>
  <Company>VOLKSWAGEN GROUP</Company>
  <LinksUpToDate>false</LinksUpToDate>
  <CharactersWithSpaces>57159</CharactersWithSpaces>
  <SharedDoc>false</SharedDoc>
  <HLinks>
    <vt:vector size="228" baseType="variant">
      <vt:variant>
        <vt:i4>2031673</vt:i4>
      </vt:variant>
      <vt:variant>
        <vt:i4>224</vt:i4>
      </vt:variant>
      <vt:variant>
        <vt:i4>0</vt:i4>
      </vt:variant>
      <vt:variant>
        <vt:i4>5</vt:i4>
      </vt:variant>
      <vt:variant>
        <vt:lpwstr/>
      </vt:variant>
      <vt:variant>
        <vt:lpwstr>_Toc31199929</vt:lpwstr>
      </vt:variant>
      <vt:variant>
        <vt:i4>1966137</vt:i4>
      </vt:variant>
      <vt:variant>
        <vt:i4>218</vt:i4>
      </vt:variant>
      <vt:variant>
        <vt:i4>0</vt:i4>
      </vt:variant>
      <vt:variant>
        <vt:i4>5</vt:i4>
      </vt:variant>
      <vt:variant>
        <vt:lpwstr/>
      </vt:variant>
      <vt:variant>
        <vt:lpwstr>_Toc31199928</vt:lpwstr>
      </vt:variant>
      <vt:variant>
        <vt:i4>1114169</vt:i4>
      </vt:variant>
      <vt:variant>
        <vt:i4>212</vt:i4>
      </vt:variant>
      <vt:variant>
        <vt:i4>0</vt:i4>
      </vt:variant>
      <vt:variant>
        <vt:i4>5</vt:i4>
      </vt:variant>
      <vt:variant>
        <vt:lpwstr/>
      </vt:variant>
      <vt:variant>
        <vt:lpwstr>_Toc31199927</vt:lpwstr>
      </vt:variant>
      <vt:variant>
        <vt:i4>1048633</vt:i4>
      </vt:variant>
      <vt:variant>
        <vt:i4>206</vt:i4>
      </vt:variant>
      <vt:variant>
        <vt:i4>0</vt:i4>
      </vt:variant>
      <vt:variant>
        <vt:i4>5</vt:i4>
      </vt:variant>
      <vt:variant>
        <vt:lpwstr/>
      </vt:variant>
      <vt:variant>
        <vt:lpwstr>_Toc31199926</vt:lpwstr>
      </vt:variant>
      <vt:variant>
        <vt:i4>1245241</vt:i4>
      </vt:variant>
      <vt:variant>
        <vt:i4>200</vt:i4>
      </vt:variant>
      <vt:variant>
        <vt:i4>0</vt:i4>
      </vt:variant>
      <vt:variant>
        <vt:i4>5</vt:i4>
      </vt:variant>
      <vt:variant>
        <vt:lpwstr/>
      </vt:variant>
      <vt:variant>
        <vt:lpwstr>_Toc31199925</vt:lpwstr>
      </vt:variant>
      <vt:variant>
        <vt:i4>1179705</vt:i4>
      </vt:variant>
      <vt:variant>
        <vt:i4>194</vt:i4>
      </vt:variant>
      <vt:variant>
        <vt:i4>0</vt:i4>
      </vt:variant>
      <vt:variant>
        <vt:i4>5</vt:i4>
      </vt:variant>
      <vt:variant>
        <vt:lpwstr/>
      </vt:variant>
      <vt:variant>
        <vt:lpwstr>_Toc31199924</vt:lpwstr>
      </vt:variant>
      <vt:variant>
        <vt:i4>1376313</vt:i4>
      </vt:variant>
      <vt:variant>
        <vt:i4>188</vt:i4>
      </vt:variant>
      <vt:variant>
        <vt:i4>0</vt:i4>
      </vt:variant>
      <vt:variant>
        <vt:i4>5</vt:i4>
      </vt:variant>
      <vt:variant>
        <vt:lpwstr/>
      </vt:variant>
      <vt:variant>
        <vt:lpwstr>_Toc31199923</vt:lpwstr>
      </vt:variant>
      <vt:variant>
        <vt:i4>1310777</vt:i4>
      </vt:variant>
      <vt:variant>
        <vt:i4>182</vt:i4>
      </vt:variant>
      <vt:variant>
        <vt:i4>0</vt:i4>
      </vt:variant>
      <vt:variant>
        <vt:i4>5</vt:i4>
      </vt:variant>
      <vt:variant>
        <vt:lpwstr/>
      </vt:variant>
      <vt:variant>
        <vt:lpwstr>_Toc31199922</vt:lpwstr>
      </vt:variant>
      <vt:variant>
        <vt:i4>1507385</vt:i4>
      </vt:variant>
      <vt:variant>
        <vt:i4>176</vt:i4>
      </vt:variant>
      <vt:variant>
        <vt:i4>0</vt:i4>
      </vt:variant>
      <vt:variant>
        <vt:i4>5</vt:i4>
      </vt:variant>
      <vt:variant>
        <vt:lpwstr/>
      </vt:variant>
      <vt:variant>
        <vt:lpwstr>_Toc31199921</vt:lpwstr>
      </vt:variant>
      <vt:variant>
        <vt:i4>1441849</vt:i4>
      </vt:variant>
      <vt:variant>
        <vt:i4>170</vt:i4>
      </vt:variant>
      <vt:variant>
        <vt:i4>0</vt:i4>
      </vt:variant>
      <vt:variant>
        <vt:i4>5</vt:i4>
      </vt:variant>
      <vt:variant>
        <vt:lpwstr/>
      </vt:variant>
      <vt:variant>
        <vt:lpwstr>_Toc31199920</vt:lpwstr>
      </vt:variant>
      <vt:variant>
        <vt:i4>2031674</vt:i4>
      </vt:variant>
      <vt:variant>
        <vt:i4>164</vt:i4>
      </vt:variant>
      <vt:variant>
        <vt:i4>0</vt:i4>
      </vt:variant>
      <vt:variant>
        <vt:i4>5</vt:i4>
      </vt:variant>
      <vt:variant>
        <vt:lpwstr/>
      </vt:variant>
      <vt:variant>
        <vt:lpwstr>_Toc31199919</vt:lpwstr>
      </vt:variant>
      <vt:variant>
        <vt:i4>1966138</vt:i4>
      </vt:variant>
      <vt:variant>
        <vt:i4>158</vt:i4>
      </vt:variant>
      <vt:variant>
        <vt:i4>0</vt:i4>
      </vt:variant>
      <vt:variant>
        <vt:i4>5</vt:i4>
      </vt:variant>
      <vt:variant>
        <vt:lpwstr/>
      </vt:variant>
      <vt:variant>
        <vt:lpwstr>_Toc31199918</vt:lpwstr>
      </vt:variant>
      <vt:variant>
        <vt:i4>1114170</vt:i4>
      </vt:variant>
      <vt:variant>
        <vt:i4>152</vt:i4>
      </vt:variant>
      <vt:variant>
        <vt:i4>0</vt:i4>
      </vt:variant>
      <vt:variant>
        <vt:i4>5</vt:i4>
      </vt:variant>
      <vt:variant>
        <vt:lpwstr/>
      </vt:variant>
      <vt:variant>
        <vt:lpwstr>_Toc31199917</vt:lpwstr>
      </vt:variant>
      <vt:variant>
        <vt:i4>1048634</vt:i4>
      </vt:variant>
      <vt:variant>
        <vt:i4>146</vt:i4>
      </vt:variant>
      <vt:variant>
        <vt:i4>0</vt:i4>
      </vt:variant>
      <vt:variant>
        <vt:i4>5</vt:i4>
      </vt:variant>
      <vt:variant>
        <vt:lpwstr/>
      </vt:variant>
      <vt:variant>
        <vt:lpwstr>_Toc31199916</vt:lpwstr>
      </vt:variant>
      <vt:variant>
        <vt:i4>1245242</vt:i4>
      </vt:variant>
      <vt:variant>
        <vt:i4>140</vt:i4>
      </vt:variant>
      <vt:variant>
        <vt:i4>0</vt:i4>
      </vt:variant>
      <vt:variant>
        <vt:i4>5</vt:i4>
      </vt:variant>
      <vt:variant>
        <vt:lpwstr/>
      </vt:variant>
      <vt:variant>
        <vt:lpwstr>_Toc31199915</vt:lpwstr>
      </vt:variant>
      <vt:variant>
        <vt:i4>1179706</vt:i4>
      </vt:variant>
      <vt:variant>
        <vt:i4>134</vt:i4>
      </vt:variant>
      <vt:variant>
        <vt:i4>0</vt:i4>
      </vt:variant>
      <vt:variant>
        <vt:i4>5</vt:i4>
      </vt:variant>
      <vt:variant>
        <vt:lpwstr/>
      </vt:variant>
      <vt:variant>
        <vt:lpwstr>_Toc31199914</vt:lpwstr>
      </vt:variant>
      <vt:variant>
        <vt:i4>1376314</vt:i4>
      </vt:variant>
      <vt:variant>
        <vt:i4>128</vt:i4>
      </vt:variant>
      <vt:variant>
        <vt:i4>0</vt:i4>
      </vt:variant>
      <vt:variant>
        <vt:i4>5</vt:i4>
      </vt:variant>
      <vt:variant>
        <vt:lpwstr/>
      </vt:variant>
      <vt:variant>
        <vt:lpwstr>_Toc31199913</vt:lpwstr>
      </vt:variant>
      <vt:variant>
        <vt:i4>1310778</vt:i4>
      </vt:variant>
      <vt:variant>
        <vt:i4>122</vt:i4>
      </vt:variant>
      <vt:variant>
        <vt:i4>0</vt:i4>
      </vt:variant>
      <vt:variant>
        <vt:i4>5</vt:i4>
      </vt:variant>
      <vt:variant>
        <vt:lpwstr/>
      </vt:variant>
      <vt:variant>
        <vt:lpwstr>_Toc31199912</vt:lpwstr>
      </vt:variant>
      <vt:variant>
        <vt:i4>1507386</vt:i4>
      </vt:variant>
      <vt:variant>
        <vt:i4>116</vt:i4>
      </vt:variant>
      <vt:variant>
        <vt:i4>0</vt:i4>
      </vt:variant>
      <vt:variant>
        <vt:i4>5</vt:i4>
      </vt:variant>
      <vt:variant>
        <vt:lpwstr/>
      </vt:variant>
      <vt:variant>
        <vt:lpwstr>_Toc31199911</vt:lpwstr>
      </vt:variant>
      <vt:variant>
        <vt:i4>1441850</vt:i4>
      </vt:variant>
      <vt:variant>
        <vt:i4>110</vt:i4>
      </vt:variant>
      <vt:variant>
        <vt:i4>0</vt:i4>
      </vt:variant>
      <vt:variant>
        <vt:i4>5</vt:i4>
      </vt:variant>
      <vt:variant>
        <vt:lpwstr/>
      </vt:variant>
      <vt:variant>
        <vt:lpwstr>_Toc31199910</vt:lpwstr>
      </vt:variant>
      <vt:variant>
        <vt:i4>2031675</vt:i4>
      </vt:variant>
      <vt:variant>
        <vt:i4>104</vt:i4>
      </vt:variant>
      <vt:variant>
        <vt:i4>0</vt:i4>
      </vt:variant>
      <vt:variant>
        <vt:i4>5</vt:i4>
      </vt:variant>
      <vt:variant>
        <vt:lpwstr/>
      </vt:variant>
      <vt:variant>
        <vt:lpwstr>_Toc31199909</vt:lpwstr>
      </vt:variant>
      <vt:variant>
        <vt:i4>1966139</vt:i4>
      </vt:variant>
      <vt:variant>
        <vt:i4>98</vt:i4>
      </vt:variant>
      <vt:variant>
        <vt:i4>0</vt:i4>
      </vt:variant>
      <vt:variant>
        <vt:i4>5</vt:i4>
      </vt:variant>
      <vt:variant>
        <vt:lpwstr/>
      </vt:variant>
      <vt:variant>
        <vt:lpwstr>_Toc31199908</vt:lpwstr>
      </vt:variant>
      <vt:variant>
        <vt:i4>1114171</vt:i4>
      </vt:variant>
      <vt:variant>
        <vt:i4>92</vt:i4>
      </vt:variant>
      <vt:variant>
        <vt:i4>0</vt:i4>
      </vt:variant>
      <vt:variant>
        <vt:i4>5</vt:i4>
      </vt:variant>
      <vt:variant>
        <vt:lpwstr/>
      </vt:variant>
      <vt:variant>
        <vt:lpwstr>_Toc31199907</vt:lpwstr>
      </vt:variant>
      <vt:variant>
        <vt:i4>1048635</vt:i4>
      </vt:variant>
      <vt:variant>
        <vt:i4>86</vt:i4>
      </vt:variant>
      <vt:variant>
        <vt:i4>0</vt:i4>
      </vt:variant>
      <vt:variant>
        <vt:i4>5</vt:i4>
      </vt:variant>
      <vt:variant>
        <vt:lpwstr/>
      </vt:variant>
      <vt:variant>
        <vt:lpwstr>_Toc31199906</vt:lpwstr>
      </vt:variant>
      <vt:variant>
        <vt:i4>1245243</vt:i4>
      </vt:variant>
      <vt:variant>
        <vt:i4>80</vt:i4>
      </vt:variant>
      <vt:variant>
        <vt:i4>0</vt:i4>
      </vt:variant>
      <vt:variant>
        <vt:i4>5</vt:i4>
      </vt:variant>
      <vt:variant>
        <vt:lpwstr/>
      </vt:variant>
      <vt:variant>
        <vt:lpwstr>_Toc31199905</vt:lpwstr>
      </vt:variant>
      <vt:variant>
        <vt:i4>1179707</vt:i4>
      </vt:variant>
      <vt:variant>
        <vt:i4>74</vt:i4>
      </vt:variant>
      <vt:variant>
        <vt:i4>0</vt:i4>
      </vt:variant>
      <vt:variant>
        <vt:i4>5</vt:i4>
      </vt:variant>
      <vt:variant>
        <vt:lpwstr/>
      </vt:variant>
      <vt:variant>
        <vt:lpwstr>_Toc31199904</vt:lpwstr>
      </vt:variant>
      <vt:variant>
        <vt:i4>1376315</vt:i4>
      </vt:variant>
      <vt:variant>
        <vt:i4>68</vt:i4>
      </vt:variant>
      <vt:variant>
        <vt:i4>0</vt:i4>
      </vt:variant>
      <vt:variant>
        <vt:i4>5</vt:i4>
      </vt:variant>
      <vt:variant>
        <vt:lpwstr/>
      </vt:variant>
      <vt:variant>
        <vt:lpwstr>_Toc31199903</vt:lpwstr>
      </vt:variant>
      <vt:variant>
        <vt:i4>1310779</vt:i4>
      </vt:variant>
      <vt:variant>
        <vt:i4>62</vt:i4>
      </vt:variant>
      <vt:variant>
        <vt:i4>0</vt:i4>
      </vt:variant>
      <vt:variant>
        <vt:i4>5</vt:i4>
      </vt:variant>
      <vt:variant>
        <vt:lpwstr/>
      </vt:variant>
      <vt:variant>
        <vt:lpwstr>_Toc31199902</vt:lpwstr>
      </vt:variant>
      <vt:variant>
        <vt:i4>1507387</vt:i4>
      </vt:variant>
      <vt:variant>
        <vt:i4>56</vt:i4>
      </vt:variant>
      <vt:variant>
        <vt:i4>0</vt:i4>
      </vt:variant>
      <vt:variant>
        <vt:i4>5</vt:i4>
      </vt:variant>
      <vt:variant>
        <vt:lpwstr/>
      </vt:variant>
      <vt:variant>
        <vt:lpwstr>_Toc31199901</vt:lpwstr>
      </vt:variant>
      <vt:variant>
        <vt:i4>1441851</vt:i4>
      </vt:variant>
      <vt:variant>
        <vt:i4>50</vt:i4>
      </vt:variant>
      <vt:variant>
        <vt:i4>0</vt:i4>
      </vt:variant>
      <vt:variant>
        <vt:i4>5</vt:i4>
      </vt:variant>
      <vt:variant>
        <vt:lpwstr/>
      </vt:variant>
      <vt:variant>
        <vt:lpwstr>_Toc31199900</vt:lpwstr>
      </vt:variant>
      <vt:variant>
        <vt:i4>1966130</vt:i4>
      </vt:variant>
      <vt:variant>
        <vt:i4>44</vt:i4>
      </vt:variant>
      <vt:variant>
        <vt:i4>0</vt:i4>
      </vt:variant>
      <vt:variant>
        <vt:i4>5</vt:i4>
      </vt:variant>
      <vt:variant>
        <vt:lpwstr/>
      </vt:variant>
      <vt:variant>
        <vt:lpwstr>_Toc31199899</vt:lpwstr>
      </vt:variant>
      <vt:variant>
        <vt:i4>2031666</vt:i4>
      </vt:variant>
      <vt:variant>
        <vt:i4>38</vt:i4>
      </vt:variant>
      <vt:variant>
        <vt:i4>0</vt:i4>
      </vt:variant>
      <vt:variant>
        <vt:i4>5</vt:i4>
      </vt:variant>
      <vt:variant>
        <vt:lpwstr/>
      </vt:variant>
      <vt:variant>
        <vt:lpwstr>_Toc31199898</vt:lpwstr>
      </vt:variant>
      <vt:variant>
        <vt:i4>1048626</vt:i4>
      </vt:variant>
      <vt:variant>
        <vt:i4>32</vt:i4>
      </vt:variant>
      <vt:variant>
        <vt:i4>0</vt:i4>
      </vt:variant>
      <vt:variant>
        <vt:i4>5</vt:i4>
      </vt:variant>
      <vt:variant>
        <vt:lpwstr/>
      </vt:variant>
      <vt:variant>
        <vt:lpwstr>_Toc31199897</vt:lpwstr>
      </vt:variant>
      <vt:variant>
        <vt:i4>1114162</vt:i4>
      </vt:variant>
      <vt:variant>
        <vt:i4>26</vt:i4>
      </vt:variant>
      <vt:variant>
        <vt:i4>0</vt:i4>
      </vt:variant>
      <vt:variant>
        <vt:i4>5</vt:i4>
      </vt:variant>
      <vt:variant>
        <vt:lpwstr/>
      </vt:variant>
      <vt:variant>
        <vt:lpwstr>_Toc31199896</vt:lpwstr>
      </vt:variant>
      <vt:variant>
        <vt:i4>1179698</vt:i4>
      </vt:variant>
      <vt:variant>
        <vt:i4>20</vt:i4>
      </vt:variant>
      <vt:variant>
        <vt:i4>0</vt:i4>
      </vt:variant>
      <vt:variant>
        <vt:i4>5</vt:i4>
      </vt:variant>
      <vt:variant>
        <vt:lpwstr/>
      </vt:variant>
      <vt:variant>
        <vt:lpwstr>_Toc31199895</vt:lpwstr>
      </vt:variant>
      <vt:variant>
        <vt:i4>1245234</vt:i4>
      </vt:variant>
      <vt:variant>
        <vt:i4>14</vt:i4>
      </vt:variant>
      <vt:variant>
        <vt:i4>0</vt:i4>
      </vt:variant>
      <vt:variant>
        <vt:i4>5</vt:i4>
      </vt:variant>
      <vt:variant>
        <vt:lpwstr/>
      </vt:variant>
      <vt:variant>
        <vt:lpwstr>_Toc31199894</vt:lpwstr>
      </vt:variant>
      <vt:variant>
        <vt:i4>1310770</vt:i4>
      </vt:variant>
      <vt:variant>
        <vt:i4>8</vt:i4>
      </vt:variant>
      <vt:variant>
        <vt:i4>0</vt:i4>
      </vt:variant>
      <vt:variant>
        <vt:i4>5</vt:i4>
      </vt:variant>
      <vt:variant>
        <vt:lpwstr/>
      </vt:variant>
      <vt:variant>
        <vt:lpwstr>_Toc31199893</vt:lpwstr>
      </vt:variant>
      <vt:variant>
        <vt:i4>1376306</vt:i4>
      </vt:variant>
      <vt:variant>
        <vt:i4>2</vt:i4>
      </vt:variant>
      <vt:variant>
        <vt:i4>0</vt:i4>
      </vt:variant>
      <vt:variant>
        <vt:i4>5</vt:i4>
      </vt:variant>
      <vt:variant>
        <vt:lpwstr/>
      </vt:variant>
      <vt:variant>
        <vt:lpwstr>_Toc31199892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Storm</dc:creator>
  <cp:keywords/>
  <dc:description/>
  <cp:lastModifiedBy>Jonas Hermanns</cp:lastModifiedBy>
  <cp:revision>12</cp:revision>
  <cp:lastPrinted>2020-11-23T08:14:00Z</cp:lastPrinted>
  <dcterms:created xsi:type="dcterms:W3CDTF">2020-11-23T22:22:00Z</dcterms:created>
  <dcterms:modified xsi:type="dcterms:W3CDTF">2020-12-02T13:20:00Z</dcterms:modified>
</cp:coreProperties>
</file>